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94FEC" w14:textId="77777777" w:rsidR="00C43A1B" w:rsidRPr="000B676B" w:rsidRDefault="00C43A1B" w:rsidP="00C43A1B">
      <w:pPr>
        <w:jc w:val="center"/>
        <w:rPr>
          <w:b/>
          <w:lang w:val="lv-LV"/>
        </w:rPr>
      </w:pPr>
      <w:r w:rsidRPr="000B676B">
        <w:rPr>
          <w:b/>
          <w:lang w:val="lv-LV"/>
        </w:rPr>
        <w:t>Rīgas domes izglītības, kultūras un sporta departamenta</w:t>
      </w:r>
    </w:p>
    <w:p w14:paraId="74DBE95F" w14:textId="77777777" w:rsidR="00C43A1B" w:rsidRPr="000B676B" w:rsidRDefault="00C43A1B" w:rsidP="00C43A1B">
      <w:pPr>
        <w:jc w:val="center"/>
        <w:rPr>
          <w:b/>
          <w:lang w:val="lv-LV"/>
        </w:rPr>
      </w:pPr>
      <w:r w:rsidRPr="000B676B">
        <w:rPr>
          <w:b/>
          <w:lang w:val="lv-LV"/>
        </w:rPr>
        <w:t>atklāts konkurss</w:t>
      </w:r>
    </w:p>
    <w:p w14:paraId="3394DD25" w14:textId="77777777" w:rsidR="00C43A1B" w:rsidRPr="000B676B" w:rsidRDefault="00C43A1B" w:rsidP="00C43A1B">
      <w:pPr>
        <w:jc w:val="center"/>
        <w:rPr>
          <w:b/>
          <w:lang w:val="lv-LV"/>
        </w:rPr>
      </w:pPr>
      <w:r w:rsidRPr="000B676B">
        <w:rPr>
          <w:b/>
          <w:lang w:val="lv-LV"/>
        </w:rPr>
        <w:t>„</w:t>
      </w:r>
      <w:bookmarkStart w:id="0" w:name="_Hlk9926361"/>
      <w:r w:rsidRPr="000B676B">
        <w:rPr>
          <w:b/>
          <w:bCs/>
          <w:lang w:val="lv-LV"/>
        </w:rPr>
        <w:t>Mēbeļu piegāde pašvaldības kultūras iestādes “Ziemeļrīgas kultūras apvienība” vajadzībām”</w:t>
      </w:r>
      <w:r w:rsidRPr="000B676B">
        <w:rPr>
          <w:b/>
          <w:lang w:val="lv-LV"/>
        </w:rPr>
        <w:t>”</w:t>
      </w:r>
      <w:bookmarkEnd w:id="0"/>
    </w:p>
    <w:p w14:paraId="70F4A330" w14:textId="77777777" w:rsidR="00C43A1B" w:rsidRPr="000B676B" w:rsidRDefault="00C43A1B" w:rsidP="00C43A1B">
      <w:pPr>
        <w:jc w:val="center"/>
        <w:rPr>
          <w:lang w:val="lv-LV"/>
        </w:rPr>
      </w:pPr>
      <w:r w:rsidRPr="000B676B">
        <w:rPr>
          <w:bCs/>
          <w:lang w:val="lv-LV"/>
        </w:rPr>
        <w:t>(Iepirkuma identifikācijas Nr. RD IKSD 2021/13</w:t>
      </w:r>
      <w:r w:rsidRPr="000B676B">
        <w:rPr>
          <w:lang w:val="lv-LV"/>
        </w:rPr>
        <w:t>)</w:t>
      </w:r>
    </w:p>
    <w:p w14:paraId="6A59C6C2" w14:textId="77777777" w:rsidR="00FD3A54" w:rsidRPr="000B676B" w:rsidRDefault="00FD3A54" w:rsidP="00FD3A54">
      <w:pPr>
        <w:jc w:val="center"/>
        <w:rPr>
          <w:lang w:val="lv-LV"/>
        </w:rPr>
      </w:pPr>
    </w:p>
    <w:p w14:paraId="112AFC69" w14:textId="77777777" w:rsidR="0007139A" w:rsidRPr="000B676B" w:rsidRDefault="0007139A" w:rsidP="00FD3A54">
      <w:pPr>
        <w:jc w:val="center"/>
        <w:rPr>
          <w:b/>
          <w:bCs/>
          <w:lang w:val="lv-LV"/>
        </w:rPr>
      </w:pPr>
      <w:r w:rsidRPr="000B676B">
        <w:rPr>
          <w:b/>
          <w:bCs/>
          <w:lang w:val="lv-LV"/>
        </w:rPr>
        <w:t>ZIŅOJUMS</w:t>
      </w:r>
    </w:p>
    <w:p w14:paraId="39220C41" w14:textId="77777777" w:rsidR="007D4EAB" w:rsidRPr="000B676B" w:rsidRDefault="007D4EAB" w:rsidP="007D4EAB">
      <w:pPr>
        <w:jc w:val="center"/>
        <w:rPr>
          <w:lang w:val="lv-LV"/>
        </w:rPr>
      </w:pPr>
    </w:p>
    <w:p w14:paraId="6A3CF7B9" w14:textId="4826E07E" w:rsidR="007D4EAB" w:rsidRPr="000B676B" w:rsidRDefault="007D4EAB" w:rsidP="007D4EAB">
      <w:pPr>
        <w:jc w:val="both"/>
        <w:rPr>
          <w:lang w:val="lv-LV" w:eastAsia="ar-SA"/>
        </w:rPr>
      </w:pPr>
      <w:r w:rsidRPr="000B676B">
        <w:rPr>
          <w:lang w:val="lv-LV" w:eastAsia="ar-SA"/>
        </w:rPr>
        <w:t xml:space="preserve">Rīgā, </w:t>
      </w:r>
      <w:r w:rsidR="00C43A1B" w:rsidRPr="000B676B">
        <w:rPr>
          <w:lang w:val="lv-LV" w:eastAsia="ar-SA"/>
        </w:rPr>
        <w:t>0</w:t>
      </w:r>
      <w:r w:rsidR="00453DE3">
        <w:rPr>
          <w:lang w:val="lv-LV" w:eastAsia="ar-SA"/>
        </w:rPr>
        <w:t>6</w:t>
      </w:r>
      <w:r w:rsidR="00C43A1B" w:rsidRPr="000B676B">
        <w:rPr>
          <w:lang w:val="lv-LV" w:eastAsia="ar-SA"/>
        </w:rPr>
        <w:t>.10</w:t>
      </w:r>
      <w:r w:rsidRPr="000B676B">
        <w:rPr>
          <w:lang w:val="lv-LV" w:eastAsia="ar-SA"/>
        </w:rPr>
        <w:t>.202</w:t>
      </w:r>
      <w:r w:rsidR="00794796">
        <w:rPr>
          <w:lang w:val="lv-LV" w:eastAsia="ar-SA"/>
        </w:rPr>
        <w:t>1</w:t>
      </w:r>
      <w:r w:rsidRPr="000B676B">
        <w:rPr>
          <w:lang w:val="lv-LV" w:eastAsia="ar-SA"/>
        </w:rPr>
        <w:t>.</w:t>
      </w:r>
    </w:p>
    <w:tbl>
      <w:tblPr>
        <w:tblStyle w:val="Reatabula"/>
        <w:tblW w:w="0" w:type="auto"/>
        <w:tblLook w:val="04A0" w:firstRow="1" w:lastRow="0" w:firstColumn="1" w:lastColumn="0" w:noHBand="0" w:noVBand="1"/>
      </w:tblPr>
      <w:tblGrid>
        <w:gridCol w:w="2770"/>
        <w:gridCol w:w="6517"/>
      </w:tblGrid>
      <w:tr w:rsidR="007D4EAB" w:rsidRPr="00794796" w14:paraId="5C2A786C" w14:textId="77777777" w:rsidTr="00995309">
        <w:tc>
          <w:tcPr>
            <w:tcW w:w="0" w:type="auto"/>
          </w:tcPr>
          <w:p w14:paraId="3FF85371" w14:textId="77777777" w:rsidR="007D4EAB" w:rsidRPr="000B676B" w:rsidRDefault="00116BA7" w:rsidP="007D4EAB">
            <w:pPr>
              <w:jc w:val="both"/>
              <w:rPr>
                <w:lang w:val="lv-LV" w:eastAsia="ar-SA"/>
              </w:rPr>
            </w:pPr>
            <w:r w:rsidRPr="000B676B">
              <w:rPr>
                <w:color w:val="000000"/>
                <w:lang w:val="lv-LV" w:eastAsia="ar-SA"/>
              </w:rPr>
              <w:t>Pasūtītājs</w:t>
            </w:r>
          </w:p>
        </w:tc>
        <w:tc>
          <w:tcPr>
            <w:tcW w:w="0" w:type="auto"/>
          </w:tcPr>
          <w:p w14:paraId="1B0C36B1" w14:textId="77777777" w:rsidR="007D4EAB" w:rsidRPr="000B676B" w:rsidRDefault="00116BA7" w:rsidP="007D4EAB">
            <w:pPr>
              <w:jc w:val="both"/>
              <w:rPr>
                <w:color w:val="000000"/>
                <w:lang w:val="lv-LV" w:eastAsia="ar-SA"/>
              </w:rPr>
            </w:pPr>
            <w:r w:rsidRPr="000B676B">
              <w:rPr>
                <w:color w:val="000000"/>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r w:rsidR="00C43A1B" w:rsidRPr="000B676B">
              <w:rPr>
                <w:color w:val="000000"/>
                <w:lang w:val="lv-LV" w:eastAsia="ar-SA"/>
              </w:rPr>
              <w:t>.</w:t>
            </w:r>
          </w:p>
          <w:p w14:paraId="54ED439F" w14:textId="77777777" w:rsidR="00C43A1B" w:rsidRPr="000B676B" w:rsidRDefault="00C43A1B" w:rsidP="007D4EAB">
            <w:pPr>
              <w:jc w:val="both"/>
              <w:rPr>
                <w:color w:val="000000"/>
                <w:lang w:val="lv-LV" w:eastAsia="ar-SA"/>
              </w:rPr>
            </w:pPr>
          </w:p>
          <w:p w14:paraId="3E10A330" w14:textId="2B0DE556" w:rsidR="00C43A1B" w:rsidRPr="000B676B" w:rsidRDefault="00C43A1B" w:rsidP="00C43A1B">
            <w:pPr>
              <w:jc w:val="both"/>
              <w:rPr>
                <w:color w:val="000000"/>
                <w:lang w:val="lv-LV" w:eastAsia="ar-SA"/>
              </w:rPr>
            </w:pPr>
            <w:r w:rsidRPr="000B676B">
              <w:rPr>
                <w:color w:val="000000"/>
                <w:lang w:val="lv-LV" w:eastAsia="ar-SA"/>
              </w:rPr>
              <w:t>Atbilstoši Publisko iepirkumu likuma 17. panta regulējumam Rīgas domes Izglītības, kultūras un sporta departaments  kā centralizēta iepirkumu institūcija veic iepirkuma procedūru padotībā esošās pašvaldības kultūras iestādes “Ziemeļrīgas kultūras apvienība” vajadzībām</w:t>
            </w:r>
            <w:r w:rsidRPr="000B676B">
              <w:rPr>
                <w:lang w:val="lv-LV"/>
              </w:rPr>
              <w:t>.</w:t>
            </w:r>
          </w:p>
          <w:p w14:paraId="34A5EAB9" w14:textId="3E9AD514" w:rsidR="00C43A1B" w:rsidRPr="000B676B" w:rsidRDefault="00C43A1B" w:rsidP="007D4EAB">
            <w:pPr>
              <w:jc w:val="both"/>
              <w:rPr>
                <w:lang w:val="lv-LV" w:eastAsia="ar-SA"/>
              </w:rPr>
            </w:pPr>
          </w:p>
        </w:tc>
      </w:tr>
      <w:tr w:rsidR="007D4EAB" w:rsidRPr="000B676B" w14:paraId="6477D760" w14:textId="77777777" w:rsidTr="00995309">
        <w:tc>
          <w:tcPr>
            <w:tcW w:w="0" w:type="auto"/>
          </w:tcPr>
          <w:p w14:paraId="645AB06F" w14:textId="77777777" w:rsidR="007D4EAB" w:rsidRPr="000B676B" w:rsidRDefault="0007139A" w:rsidP="007D4EAB">
            <w:pPr>
              <w:jc w:val="both"/>
              <w:rPr>
                <w:lang w:val="lv-LV" w:eastAsia="ar-SA"/>
              </w:rPr>
            </w:pPr>
            <w:r w:rsidRPr="000B676B">
              <w:rPr>
                <w:lang w:val="lv-LV"/>
              </w:rPr>
              <w:t>I</w:t>
            </w:r>
            <w:r w:rsidR="00116BA7" w:rsidRPr="000B676B">
              <w:rPr>
                <w:lang w:val="lv-LV"/>
              </w:rPr>
              <w:t>epirkuma identifikācijas numurs</w:t>
            </w:r>
          </w:p>
        </w:tc>
        <w:tc>
          <w:tcPr>
            <w:tcW w:w="0" w:type="auto"/>
          </w:tcPr>
          <w:p w14:paraId="062F6D11" w14:textId="52B973A6" w:rsidR="007D4EAB" w:rsidRPr="000B676B" w:rsidRDefault="00116BA7" w:rsidP="007D4EAB">
            <w:pPr>
              <w:jc w:val="both"/>
              <w:rPr>
                <w:lang w:val="lv-LV" w:eastAsia="ar-SA"/>
              </w:rPr>
            </w:pPr>
            <w:r w:rsidRPr="000B676B">
              <w:rPr>
                <w:color w:val="000000"/>
                <w:lang w:val="lv-LV" w:eastAsia="ar-SA"/>
              </w:rPr>
              <w:t>RD IKSD 202</w:t>
            </w:r>
            <w:r w:rsidR="00C43A1B" w:rsidRPr="000B676B">
              <w:rPr>
                <w:color w:val="000000"/>
                <w:lang w:val="lv-LV" w:eastAsia="ar-SA"/>
              </w:rPr>
              <w:t>1</w:t>
            </w:r>
            <w:r w:rsidRPr="000B676B">
              <w:rPr>
                <w:color w:val="000000"/>
                <w:lang w:val="lv-LV" w:eastAsia="ar-SA"/>
              </w:rPr>
              <w:t>/</w:t>
            </w:r>
            <w:r w:rsidR="00C43A1B" w:rsidRPr="000B676B">
              <w:rPr>
                <w:color w:val="000000"/>
                <w:lang w:val="lv-LV" w:eastAsia="ar-SA"/>
              </w:rPr>
              <w:t>13</w:t>
            </w:r>
          </w:p>
        </w:tc>
      </w:tr>
      <w:tr w:rsidR="007D4EAB" w:rsidRPr="00794796" w14:paraId="1B5A9B6B" w14:textId="77777777" w:rsidTr="00995309">
        <w:tc>
          <w:tcPr>
            <w:tcW w:w="0" w:type="auto"/>
          </w:tcPr>
          <w:p w14:paraId="648E7289" w14:textId="77777777" w:rsidR="007D4EAB" w:rsidRPr="000B676B" w:rsidRDefault="0007139A" w:rsidP="007D4EAB">
            <w:pPr>
              <w:jc w:val="both"/>
              <w:rPr>
                <w:lang w:val="lv-LV" w:eastAsia="ar-SA"/>
              </w:rPr>
            </w:pPr>
            <w:r w:rsidRPr="000B676B">
              <w:rPr>
                <w:lang w:val="lv-LV"/>
              </w:rPr>
              <w:t>I</w:t>
            </w:r>
            <w:r w:rsidR="00116BA7" w:rsidRPr="000B676B">
              <w:rPr>
                <w:lang w:val="lv-LV"/>
              </w:rPr>
              <w:t>epirkuma procedūras veids</w:t>
            </w:r>
          </w:p>
        </w:tc>
        <w:tc>
          <w:tcPr>
            <w:tcW w:w="0" w:type="auto"/>
          </w:tcPr>
          <w:p w14:paraId="47CCEADA" w14:textId="77777777" w:rsidR="007D4EAB" w:rsidRPr="000B676B" w:rsidRDefault="00FD3A54" w:rsidP="007D4EAB">
            <w:pPr>
              <w:jc w:val="both"/>
              <w:rPr>
                <w:lang w:val="lv-LV" w:eastAsia="ar-SA"/>
              </w:rPr>
            </w:pPr>
            <w:r w:rsidRPr="000B676B">
              <w:rPr>
                <w:color w:val="000000"/>
                <w:lang w:val="lv-LV" w:eastAsia="ar-SA"/>
              </w:rPr>
              <w:t>Atklāts konkurss</w:t>
            </w:r>
            <w:r w:rsidR="00116BA7" w:rsidRPr="000B676B">
              <w:rPr>
                <w:color w:val="000000"/>
                <w:lang w:val="lv-LV" w:eastAsia="ar-SA"/>
              </w:rPr>
              <w:t xml:space="preserve"> </w:t>
            </w:r>
            <w:r w:rsidRPr="000B676B">
              <w:rPr>
                <w:lang w:val="lv-LV"/>
              </w:rPr>
              <w:t>atbilstoši Publisko iepirkumu likuma (turpmāk – PIL) 8.panta pirmās daļas 1.punktam</w:t>
            </w:r>
          </w:p>
        </w:tc>
      </w:tr>
      <w:tr w:rsidR="00116BA7" w:rsidRPr="000B676B" w14:paraId="7340B489" w14:textId="77777777" w:rsidTr="00995309">
        <w:tc>
          <w:tcPr>
            <w:tcW w:w="0" w:type="auto"/>
          </w:tcPr>
          <w:p w14:paraId="7E0912C3" w14:textId="77777777" w:rsidR="00116BA7" w:rsidRPr="000B676B" w:rsidRDefault="00755109" w:rsidP="00116BA7">
            <w:pPr>
              <w:jc w:val="both"/>
              <w:rPr>
                <w:lang w:val="lv-LV"/>
              </w:rPr>
            </w:pPr>
            <w:r w:rsidRPr="000B676B">
              <w:rPr>
                <w:lang w:val="lv-LV"/>
              </w:rPr>
              <w:t>I</w:t>
            </w:r>
            <w:r w:rsidR="00116BA7" w:rsidRPr="000B676B">
              <w:rPr>
                <w:lang w:val="lv-LV"/>
              </w:rPr>
              <w:t>epirkuma līguma priekšmets</w:t>
            </w:r>
          </w:p>
        </w:tc>
        <w:tc>
          <w:tcPr>
            <w:tcW w:w="0" w:type="auto"/>
          </w:tcPr>
          <w:p w14:paraId="598263C2" w14:textId="77777777" w:rsidR="00FD3A54" w:rsidRPr="000B676B" w:rsidRDefault="00C43A1B" w:rsidP="008045DD">
            <w:pPr>
              <w:jc w:val="both"/>
              <w:rPr>
                <w:lang w:val="lv-LV"/>
              </w:rPr>
            </w:pPr>
            <w:r w:rsidRPr="000B676B">
              <w:rPr>
                <w:lang w:val="lv-LV"/>
              </w:rPr>
              <w:t>Iepirkuma priekšmets ir mēbeļu (CPV kods 39100000-3 Mēbeles) piegāde un uzstādīšana.</w:t>
            </w:r>
          </w:p>
          <w:p w14:paraId="7A39E1AA" w14:textId="77777777" w:rsidR="00C43A1B" w:rsidRPr="000B676B" w:rsidRDefault="00C43A1B" w:rsidP="00C43A1B">
            <w:pPr>
              <w:jc w:val="both"/>
              <w:rPr>
                <w:lang w:val="lv-LV"/>
              </w:rPr>
            </w:pPr>
            <w:r w:rsidRPr="000B676B">
              <w:rPr>
                <w:lang w:val="lv-LV"/>
              </w:rPr>
              <w:t>Iepirkuma priekšmeta piegādes vieta: Rīga, Ostas prospekts 11, Mežaparka Lielās estrādes ēka.</w:t>
            </w:r>
          </w:p>
          <w:p w14:paraId="3824B501" w14:textId="1A58BE1F" w:rsidR="00C43A1B" w:rsidRPr="000B676B" w:rsidRDefault="00C43A1B" w:rsidP="008045DD">
            <w:pPr>
              <w:jc w:val="both"/>
              <w:rPr>
                <w:lang w:val="lv-LV"/>
              </w:rPr>
            </w:pPr>
          </w:p>
        </w:tc>
      </w:tr>
      <w:tr w:rsidR="00FD3A54" w:rsidRPr="00794796" w14:paraId="2DDF8F38" w14:textId="77777777" w:rsidTr="00995309">
        <w:tc>
          <w:tcPr>
            <w:tcW w:w="0" w:type="auto"/>
          </w:tcPr>
          <w:p w14:paraId="145AEF6C" w14:textId="77777777" w:rsidR="00FD3A54" w:rsidRPr="000B676B" w:rsidRDefault="00FD3A54" w:rsidP="00116BA7">
            <w:pPr>
              <w:jc w:val="both"/>
              <w:rPr>
                <w:lang w:val="lv-LV"/>
              </w:rPr>
            </w:pPr>
            <w:r w:rsidRPr="000B676B">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21DD6C0E" w14:textId="77777777" w:rsidR="00FD3A54" w:rsidRPr="000B676B" w:rsidRDefault="00D8280E" w:rsidP="008045DD">
            <w:pPr>
              <w:jc w:val="both"/>
              <w:rPr>
                <w:lang w:val="lv-LV"/>
              </w:rPr>
            </w:pPr>
            <w:r w:rsidRPr="000B676B">
              <w:rPr>
                <w:lang w:val="lv-LV"/>
              </w:rPr>
              <w:t>14.09.2021.</w:t>
            </w:r>
          </w:p>
          <w:p w14:paraId="7F9FBB40" w14:textId="681E369A" w:rsidR="00D8280E" w:rsidRPr="000B676B" w:rsidRDefault="00051970" w:rsidP="008045DD">
            <w:pPr>
              <w:jc w:val="both"/>
              <w:rPr>
                <w:lang w:val="lv-LV"/>
              </w:rPr>
            </w:pPr>
            <w:hyperlink r:id="rId7" w:history="1">
              <w:r w:rsidR="00D8280E" w:rsidRPr="000B676B">
                <w:rPr>
                  <w:rStyle w:val="Hipersaite"/>
                  <w:lang w:val="lv-LV"/>
                </w:rPr>
                <w:t>Iepirkumu uzraudzības birojs (iub.gov.lv)</w:t>
              </w:r>
            </w:hyperlink>
          </w:p>
        </w:tc>
      </w:tr>
      <w:tr w:rsidR="008045DD" w:rsidRPr="000B676B" w14:paraId="41329789" w14:textId="77777777" w:rsidTr="00995309">
        <w:tc>
          <w:tcPr>
            <w:tcW w:w="0" w:type="auto"/>
          </w:tcPr>
          <w:p w14:paraId="748632AE" w14:textId="77777777" w:rsidR="008045DD" w:rsidRPr="000B676B" w:rsidRDefault="00FD3A54" w:rsidP="00116BA7">
            <w:pPr>
              <w:jc w:val="both"/>
              <w:rPr>
                <w:lang w:val="lv-LV"/>
              </w:rPr>
            </w:pPr>
            <w:r w:rsidRPr="000B676B">
              <w:rPr>
                <w:lang w:val="lv-LV"/>
              </w:rPr>
              <w:t>Iepirkuma komisijas sastāvs un tās izveidošanas pamatojums, iepirkuma procedūras dokumentu sagatavotāji un pieaicinātie eksperti</w:t>
            </w:r>
          </w:p>
        </w:tc>
        <w:tc>
          <w:tcPr>
            <w:tcW w:w="0" w:type="auto"/>
          </w:tcPr>
          <w:p w14:paraId="10A443A9" w14:textId="0F3905B8" w:rsidR="00D8280E" w:rsidRPr="000B676B" w:rsidRDefault="00D8280E" w:rsidP="00D8280E">
            <w:pPr>
              <w:jc w:val="both"/>
              <w:rPr>
                <w:lang w:val="lv-LV"/>
              </w:rPr>
            </w:pPr>
            <w:r w:rsidRPr="000B676B">
              <w:rPr>
                <w:lang w:val="lv-LV"/>
              </w:rPr>
              <w:t>Iepirkuma komisijas</w:t>
            </w:r>
            <w:r w:rsidR="00576A93">
              <w:rPr>
                <w:lang w:val="lv-LV"/>
              </w:rPr>
              <w:t xml:space="preserve"> </w:t>
            </w:r>
            <w:r w:rsidRPr="000B676B">
              <w:rPr>
                <w:lang w:val="lv-LV"/>
              </w:rPr>
              <w:t>izveidota ar Rīgas domes izglītības, kultūras un sporta departamenta 08.07.2021. rīkojumu Nr.DIKS-21-571-rs “Par iepirkuma komisijas izveidi iepirkumam Nr.RD IKSD 2021/13” šādā sastāvā:</w:t>
            </w:r>
          </w:p>
          <w:p w14:paraId="08C473FB" w14:textId="11CDB018" w:rsidR="00D8280E" w:rsidRPr="000B676B" w:rsidRDefault="00D8280E" w:rsidP="00D8280E">
            <w:pPr>
              <w:ind w:right="17"/>
              <w:jc w:val="both"/>
              <w:rPr>
                <w:lang w:val="lv-LV"/>
              </w:rPr>
            </w:pPr>
            <w:r w:rsidRPr="000B676B">
              <w:rPr>
                <w:lang w:val="lv-LV"/>
              </w:rPr>
              <w:t>Komisijas priekšsēdētāja: Kristīne Graudumniece;</w:t>
            </w:r>
          </w:p>
          <w:p w14:paraId="73A21688" w14:textId="1AE940FE" w:rsidR="00D8280E" w:rsidRPr="000B676B" w:rsidRDefault="00D8280E" w:rsidP="00D8280E">
            <w:pPr>
              <w:jc w:val="both"/>
              <w:rPr>
                <w:lang w:val="lv-LV"/>
              </w:rPr>
            </w:pPr>
            <w:r w:rsidRPr="000B676B">
              <w:rPr>
                <w:lang w:val="lv-LV"/>
              </w:rPr>
              <w:t>Komisijas priekšsēdētājas vietniece: Inese Liepa;</w:t>
            </w:r>
          </w:p>
          <w:p w14:paraId="553DDC20" w14:textId="36F85D25" w:rsidR="008045DD" w:rsidRPr="000B676B" w:rsidRDefault="00D8280E" w:rsidP="008045DD">
            <w:pPr>
              <w:jc w:val="both"/>
              <w:rPr>
                <w:lang w:val="lv-LV"/>
              </w:rPr>
            </w:pPr>
            <w:r w:rsidRPr="000B676B">
              <w:rPr>
                <w:lang w:val="lv-LV"/>
              </w:rPr>
              <w:t xml:space="preserve">Komisijas locekļi: Sanita Ārmane, </w:t>
            </w:r>
            <w:r w:rsidRPr="000B676B">
              <w:rPr>
                <w:lang w:val="lv-LV" w:eastAsia="lv-LV"/>
              </w:rPr>
              <w:t xml:space="preserve">Diāna Timpare, </w:t>
            </w:r>
            <w:r w:rsidRPr="000B676B">
              <w:rPr>
                <w:lang w:val="lv-LV"/>
              </w:rPr>
              <w:t>Marija Meirupska.</w:t>
            </w:r>
          </w:p>
        </w:tc>
      </w:tr>
      <w:tr w:rsidR="00FD3A54" w:rsidRPr="000B676B" w14:paraId="22096B5A" w14:textId="77777777" w:rsidTr="00995309">
        <w:tc>
          <w:tcPr>
            <w:tcW w:w="0" w:type="auto"/>
          </w:tcPr>
          <w:p w14:paraId="4CEC296D" w14:textId="77777777" w:rsidR="00FD3A54" w:rsidRPr="000B676B" w:rsidRDefault="00FD3A54" w:rsidP="00116BA7">
            <w:pPr>
              <w:jc w:val="both"/>
              <w:rPr>
                <w:lang w:val="lv-LV"/>
              </w:rPr>
            </w:pPr>
            <w:r w:rsidRPr="000B676B">
              <w:rPr>
                <w:lang w:val="lv-LV"/>
              </w:rPr>
              <w:t>Piedāvājumu iesniegšanas termiņš</w:t>
            </w:r>
          </w:p>
        </w:tc>
        <w:tc>
          <w:tcPr>
            <w:tcW w:w="0" w:type="auto"/>
          </w:tcPr>
          <w:p w14:paraId="1AFE1F74" w14:textId="108AA48B" w:rsidR="00FD3A54" w:rsidRPr="000B676B" w:rsidRDefault="00FD3A54" w:rsidP="00FD3A54">
            <w:pPr>
              <w:jc w:val="both"/>
              <w:rPr>
                <w:lang w:val="lv-LV"/>
              </w:rPr>
            </w:pPr>
            <w:r w:rsidRPr="000B676B">
              <w:rPr>
                <w:lang w:val="lv-LV"/>
              </w:rPr>
              <w:t xml:space="preserve">Līdz </w:t>
            </w:r>
            <w:r w:rsidR="000B676B" w:rsidRPr="000B676B">
              <w:rPr>
                <w:lang w:val="lv-LV"/>
              </w:rPr>
              <w:t>04.10.2021., plkst.10.00</w:t>
            </w:r>
          </w:p>
        </w:tc>
      </w:tr>
      <w:tr w:rsidR="00266ECF" w:rsidRPr="00794796" w14:paraId="7857B960" w14:textId="77777777" w:rsidTr="00995309">
        <w:tc>
          <w:tcPr>
            <w:tcW w:w="0" w:type="auto"/>
          </w:tcPr>
          <w:p w14:paraId="5E6816BD" w14:textId="77777777" w:rsidR="00266ECF" w:rsidRPr="000B676B" w:rsidRDefault="00266ECF" w:rsidP="00116BA7">
            <w:pPr>
              <w:jc w:val="both"/>
              <w:rPr>
                <w:lang w:val="lv-LV"/>
              </w:rPr>
            </w:pPr>
            <w:r w:rsidRPr="000B676B">
              <w:rPr>
                <w:lang w:val="lv-LV"/>
              </w:rPr>
              <w:t>Piedāvājumu atvēršanas vieta, datums un laiks</w:t>
            </w:r>
          </w:p>
        </w:tc>
        <w:tc>
          <w:tcPr>
            <w:tcW w:w="0" w:type="auto"/>
          </w:tcPr>
          <w:p w14:paraId="5A3D2F98" w14:textId="3BBDC1B2" w:rsidR="00266ECF" w:rsidRPr="000B676B" w:rsidRDefault="00266ECF" w:rsidP="00FD3A54">
            <w:pPr>
              <w:jc w:val="both"/>
              <w:rPr>
                <w:lang w:val="lv-LV"/>
              </w:rPr>
            </w:pPr>
            <w:r w:rsidRPr="000B676B">
              <w:rPr>
                <w:lang w:val="lv-LV"/>
              </w:rPr>
              <w:t xml:space="preserve">Valsts informācijas sistēmas e-konkursu apakšsistēmas tīmekļvietnē www.eis.gov.lv </w:t>
            </w:r>
            <w:r w:rsidR="000B676B" w:rsidRPr="000B676B">
              <w:rPr>
                <w:lang w:val="lv-LV"/>
              </w:rPr>
              <w:t>04.10.2021., plkst.10.00</w:t>
            </w:r>
          </w:p>
        </w:tc>
      </w:tr>
      <w:tr w:rsidR="00FD3A54" w:rsidRPr="000B676B" w14:paraId="1555476E" w14:textId="77777777" w:rsidTr="00995309">
        <w:tc>
          <w:tcPr>
            <w:tcW w:w="0" w:type="auto"/>
          </w:tcPr>
          <w:p w14:paraId="586F8BF0" w14:textId="77777777" w:rsidR="00FD3A54" w:rsidRPr="000B676B" w:rsidRDefault="00FD3A54" w:rsidP="00116BA7">
            <w:pPr>
              <w:jc w:val="both"/>
              <w:rPr>
                <w:lang w:val="lv-LV"/>
              </w:rPr>
            </w:pPr>
            <w:r w:rsidRPr="000B676B">
              <w:rPr>
                <w:lang w:val="lv-LV"/>
              </w:rPr>
              <w:lastRenderedPageBreak/>
              <w:t>To piegādātāju nosaukumi, kuri ir iesnieguši piedāvājumus, kā arī piedāvātās cenas</w:t>
            </w:r>
          </w:p>
        </w:tc>
        <w:tc>
          <w:tcPr>
            <w:tcW w:w="0" w:type="auto"/>
          </w:tcPr>
          <w:tbl>
            <w:tblPr>
              <w:tblStyle w:val="Reatabula1"/>
              <w:tblW w:w="5003" w:type="pct"/>
              <w:tblLook w:val="04A0" w:firstRow="1" w:lastRow="0" w:firstColumn="1" w:lastColumn="0" w:noHBand="0" w:noVBand="1"/>
            </w:tblPr>
            <w:tblGrid>
              <w:gridCol w:w="810"/>
              <w:gridCol w:w="1812"/>
              <w:gridCol w:w="1837"/>
              <w:gridCol w:w="1836"/>
            </w:tblGrid>
            <w:tr w:rsidR="000B676B" w:rsidRPr="000B676B" w14:paraId="5D7E09FA" w14:textId="77777777" w:rsidTr="003A2A5E">
              <w:tc>
                <w:tcPr>
                  <w:tcW w:w="517" w:type="pct"/>
                  <w:shd w:val="pct5" w:color="auto" w:fill="auto"/>
                </w:tcPr>
                <w:p w14:paraId="2CBC9D2D" w14:textId="77777777" w:rsidR="000B676B" w:rsidRPr="000B676B" w:rsidRDefault="000B676B" w:rsidP="000B676B">
                  <w:pPr>
                    <w:jc w:val="center"/>
                    <w:rPr>
                      <w:lang w:val="lv-LV"/>
                    </w:rPr>
                  </w:pPr>
                  <w:r w:rsidRPr="000B676B">
                    <w:rPr>
                      <w:lang w:val="lv-LV"/>
                    </w:rPr>
                    <w:t>N.p.k.</w:t>
                  </w:r>
                </w:p>
              </w:tc>
              <w:tc>
                <w:tcPr>
                  <w:tcW w:w="1482" w:type="pct"/>
                  <w:shd w:val="pct5" w:color="auto" w:fill="auto"/>
                </w:tcPr>
                <w:p w14:paraId="5AE68CA8" w14:textId="77777777" w:rsidR="000B676B" w:rsidRPr="000B676B" w:rsidRDefault="000B676B" w:rsidP="000B676B">
                  <w:pPr>
                    <w:jc w:val="center"/>
                    <w:rPr>
                      <w:lang w:val="lv-LV"/>
                    </w:rPr>
                  </w:pPr>
                  <w:r w:rsidRPr="000B676B">
                    <w:rPr>
                      <w:lang w:val="lv-LV"/>
                    </w:rPr>
                    <w:t>Pretendents</w:t>
                  </w:r>
                </w:p>
              </w:tc>
              <w:tc>
                <w:tcPr>
                  <w:tcW w:w="1501" w:type="pct"/>
                  <w:shd w:val="pct5" w:color="auto" w:fill="auto"/>
                </w:tcPr>
                <w:p w14:paraId="59AEE38B" w14:textId="77777777" w:rsidR="000B676B" w:rsidRPr="000B676B" w:rsidRDefault="000B676B" w:rsidP="000B676B">
                  <w:pPr>
                    <w:jc w:val="center"/>
                    <w:rPr>
                      <w:lang w:val="lv-LV"/>
                    </w:rPr>
                  </w:pPr>
                  <w:r w:rsidRPr="000B676B">
                    <w:rPr>
                      <w:lang w:val="lv-LV"/>
                    </w:rPr>
                    <w:t>Piedāvājuma iesniegšanas datums un laiks</w:t>
                  </w:r>
                </w:p>
              </w:tc>
              <w:tc>
                <w:tcPr>
                  <w:tcW w:w="1500" w:type="pct"/>
                  <w:shd w:val="pct5" w:color="auto" w:fill="auto"/>
                </w:tcPr>
                <w:p w14:paraId="255C3586" w14:textId="0E4B9E70" w:rsidR="000B676B" w:rsidRPr="000B676B" w:rsidRDefault="000B676B" w:rsidP="000B676B">
                  <w:pPr>
                    <w:jc w:val="center"/>
                    <w:rPr>
                      <w:lang w:val="lv-LV"/>
                    </w:rPr>
                  </w:pPr>
                  <w:r w:rsidRPr="000B676B">
                    <w:rPr>
                      <w:lang w:val="lv-LV"/>
                    </w:rPr>
                    <w:t>Piedāvātās cenas</w:t>
                  </w:r>
                </w:p>
              </w:tc>
            </w:tr>
            <w:tr w:rsidR="000B676B" w:rsidRPr="000B676B" w14:paraId="1FC993CA" w14:textId="77777777" w:rsidTr="003A2A5E">
              <w:tc>
                <w:tcPr>
                  <w:tcW w:w="517" w:type="pct"/>
                </w:tcPr>
                <w:p w14:paraId="4751B3C8" w14:textId="77777777" w:rsidR="000B676B" w:rsidRPr="000B676B" w:rsidRDefault="000B676B" w:rsidP="000B676B">
                  <w:pPr>
                    <w:jc w:val="both"/>
                    <w:rPr>
                      <w:lang w:val="lv-LV"/>
                    </w:rPr>
                  </w:pPr>
                  <w:r w:rsidRPr="000B676B">
                    <w:rPr>
                      <w:lang w:val="lv-LV"/>
                    </w:rPr>
                    <w:t>1.</w:t>
                  </w:r>
                </w:p>
              </w:tc>
              <w:tc>
                <w:tcPr>
                  <w:tcW w:w="1482" w:type="pct"/>
                </w:tcPr>
                <w:p w14:paraId="246AD214" w14:textId="77777777" w:rsidR="000B676B" w:rsidRPr="000B676B" w:rsidRDefault="000B676B" w:rsidP="000B676B">
                  <w:pPr>
                    <w:rPr>
                      <w:lang w:val="lv-LV"/>
                    </w:rPr>
                  </w:pPr>
                  <w:r w:rsidRPr="000B676B">
                    <w:rPr>
                      <w:lang w:val="lv-LV"/>
                    </w:rPr>
                    <w:t>Kreyd Masterhouse SIA</w:t>
                  </w:r>
                </w:p>
                <w:p w14:paraId="310A1B9D" w14:textId="77777777" w:rsidR="000B676B" w:rsidRPr="000B676B" w:rsidRDefault="000B676B" w:rsidP="000B676B">
                  <w:pPr>
                    <w:rPr>
                      <w:lang w:val="lv-LV"/>
                    </w:rPr>
                  </w:pPr>
                </w:p>
              </w:tc>
              <w:tc>
                <w:tcPr>
                  <w:tcW w:w="1501" w:type="pct"/>
                </w:tcPr>
                <w:p w14:paraId="6BD22169" w14:textId="77777777" w:rsidR="000B676B" w:rsidRPr="000B676B" w:rsidRDefault="000B676B" w:rsidP="000B676B">
                  <w:pPr>
                    <w:jc w:val="both"/>
                    <w:rPr>
                      <w:lang w:val="lv-LV"/>
                    </w:rPr>
                  </w:pPr>
                  <w:r w:rsidRPr="000B676B">
                    <w:rPr>
                      <w:lang w:val="lv-LV"/>
                    </w:rPr>
                    <w:t>04.10.2021 plkst. 09:32</w:t>
                  </w:r>
                </w:p>
              </w:tc>
              <w:tc>
                <w:tcPr>
                  <w:tcW w:w="1500" w:type="pct"/>
                </w:tcPr>
                <w:p w14:paraId="7758AF01" w14:textId="77777777" w:rsidR="000B676B" w:rsidRPr="000B676B" w:rsidRDefault="000B676B" w:rsidP="000B676B">
                  <w:pPr>
                    <w:rPr>
                      <w:lang w:val="lv-LV"/>
                    </w:rPr>
                  </w:pPr>
                  <w:r w:rsidRPr="000B676B">
                    <w:rPr>
                      <w:lang w:val="lv-LV"/>
                    </w:rPr>
                    <w:t>EIRO 75000.0</w:t>
                  </w:r>
                </w:p>
                <w:p w14:paraId="203EAEEE" w14:textId="77777777" w:rsidR="000B676B" w:rsidRPr="000B676B" w:rsidRDefault="000B676B" w:rsidP="000B676B">
                  <w:pPr>
                    <w:jc w:val="both"/>
                    <w:rPr>
                      <w:lang w:val="lv-LV"/>
                    </w:rPr>
                  </w:pPr>
                </w:p>
              </w:tc>
            </w:tr>
            <w:tr w:rsidR="000B676B" w:rsidRPr="000B676B" w14:paraId="7C01063E" w14:textId="77777777" w:rsidTr="003A2A5E">
              <w:tc>
                <w:tcPr>
                  <w:tcW w:w="517" w:type="pct"/>
                </w:tcPr>
                <w:p w14:paraId="1337701F" w14:textId="77777777" w:rsidR="000B676B" w:rsidRPr="000B676B" w:rsidRDefault="000B676B" w:rsidP="000B676B">
                  <w:pPr>
                    <w:jc w:val="both"/>
                    <w:rPr>
                      <w:lang w:val="lv-LV"/>
                    </w:rPr>
                  </w:pPr>
                  <w:r w:rsidRPr="000B676B">
                    <w:rPr>
                      <w:lang w:val="lv-LV"/>
                    </w:rPr>
                    <w:t>2.</w:t>
                  </w:r>
                </w:p>
              </w:tc>
              <w:tc>
                <w:tcPr>
                  <w:tcW w:w="1482" w:type="pct"/>
                </w:tcPr>
                <w:p w14:paraId="50D51088" w14:textId="77777777" w:rsidR="000B676B" w:rsidRPr="000B676B" w:rsidRDefault="000B676B" w:rsidP="000B676B">
                  <w:pPr>
                    <w:rPr>
                      <w:lang w:val="lv-LV"/>
                    </w:rPr>
                  </w:pPr>
                  <w:r w:rsidRPr="000B676B">
                    <w:rPr>
                      <w:lang w:val="lv-LV"/>
                    </w:rPr>
                    <w:t>"Lucidus" SIA</w:t>
                  </w:r>
                </w:p>
                <w:p w14:paraId="18E7FEE3" w14:textId="77777777" w:rsidR="000B676B" w:rsidRPr="000B676B" w:rsidRDefault="000B676B" w:rsidP="000B676B">
                  <w:pPr>
                    <w:rPr>
                      <w:lang w:val="lv-LV"/>
                    </w:rPr>
                  </w:pPr>
                </w:p>
              </w:tc>
              <w:tc>
                <w:tcPr>
                  <w:tcW w:w="1501" w:type="pct"/>
                </w:tcPr>
                <w:p w14:paraId="1729F6E6" w14:textId="77777777" w:rsidR="000B676B" w:rsidRPr="000B676B" w:rsidRDefault="000B676B" w:rsidP="000B676B">
                  <w:pPr>
                    <w:jc w:val="both"/>
                    <w:rPr>
                      <w:lang w:val="lv-LV"/>
                    </w:rPr>
                  </w:pPr>
                  <w:r w:rsidRPr="000B676B">
                    <w:rPr>
                      <w:lang w:val="lv-LV"/>
                    </w:rPr>
                    <w:t>04.10.2021 plkst. 09:36</w:t>
                  </w:r>
                </w:p>
              </w:tc>
              <w:tc>
                <w:tcPr>
                  <w:tcW w:w="1500" w:type="pct"/>
                </w:tcPr>
                <w:p w14:paraId="3FF1A461" w14:textId="77777777" w:rsidR="000B676B" w:rsidRPr="000B676B" w:rsidRDefault="000B676B" w:rsidP="000B676B">
                  <w:pPr>
                    <w:rPr>
                      <w:lang w:val="lv-LV"/>
                    </w:rPr>
                  </w:pPr>
                  <w:r w:rsidRPr="000B676B">
                    <w:rPr>
                      <w:lang w:val="lv-LV"/>
                    </w:rPr>
                    <w:t>EIRO 72618.0</w:t>
                  </w:r>
                </w:p>
                <w:p w14:paraId="343BFA60" w14:textId="77777777" w:rsidR="000B676B" w:rsidRPr="000B676B" w:rsidRDefault="000B676B" w:rsidP="000B676B">
                  <w:pPr>
                    <w:jc w:val="both"/>
                    <w:rPr>
                      <w:lang w:val="lv-LV"/>
                    </w:rPr>
                  </w:pPr>
                </w:p>
              </w:tc>
            </w:tr>
          </w:tbl>
          <w:p w14:paraId="4E0AF491" w14:textId="77777777" w:rsidR="00266ECF" w:rsidRPr="000B676B" w:rsidRDefault="00266ECF" w:rsidP="00266ECF">
            <w:pPr>
              <w:ind w:left="84"/>
              <w:jc w:val="both"/>
              <w:rPr>
                <w:lang w:val="lv-LV"/>
              </w:rPr>
            </w:pPr>
          </w:p>
        </w:tc>
      </w:tr>
      <w:tr w:rsidR="00266ECF" w:rsidRPr="00794796" w14:paraId="7D677B7F" w14:textId="77777777" w:rsidTr="002D1C50">
        <w:tc>
          <w:tcPr>
            <w:tcW w:w="0" w:type="auto"/>
          </w:tcPr>
          <w:p w14:paraId="28AD83C2" w14:textId="77777777" w:rsidR="00266ECF" w:rsidRPr="000B676B" w:rsidRDefault="00266ECF" w:rsidP="002D1C50">
            <w:pPr>
              <w:jc w:val="both"/>
              <w:rPr>
                <w:lang w:val="lv-LV"/>
              </w:rPr>
            </w:pPr>
            <w:r w:rsidRPr="000B676B">
              <w:rPr>
                <w:lang w:val="lv-LV"/>
              </w:rPr>
              <w:t>Tā pretendenta nosaukums, kuram piešķirtas iepirkuma līguma slēgšanas tiesības, piedāvātā līgumcena, kā arī piedāvājumu izvērtēšanas kopsavilkums un piedāvājuma izvēles pamatojums</w:t>
            </w:r>
          </w:p>
        </w:tc>
        <w:tc>
          <w:tcPr>
            <w:tcW w:w="0" w:type="auto"/>
          </w:tcPr>
          <w:p w14:paraId="0AF1E83F" w14:textId="4353E42A" w:rsidR="00266ECF" w:rsidRPr="000B676B" w:rsidRDefault="00453DE3" w:rsidP="000B676B">
            <w:pPr>
              <w:contextualSpacing/>
              <w:jc w:val="both"/>
              <w:rPr>
                <w:lang w:val="lv-LV"/>
              </w:rPr>
            </w:pPr>
            <w:r>
              <w:rPr>
                <w:lang w:val="lv-LV" w:eastAsia="ar-SA"/>
              </w:rPr>
              <w:t>05.10.2021. l</w:t>
            </w:r>
            <w:r w:rsidR="000B676B" w:rsidRPr="000B676B">
              <w:rPr>
                <w:lang w:val="lv-LV" w:eastAsia="ar-SA"/>
              </w:rPr>
              <w:t xml:space="preserve">īguma slēgšanas tiesības piešķiras  SIA “Lucidus”, reģistrācijas Nr. 40003894734, ar līgumcenu 72618 EUR (septiņdesmit divi tūkstoši seši simti astoņpadsmit </w:t>
            </w:r>
            <w:r w:rsidR="000B676B" w:rsidRPr="00576A93">
              <w:rPr>
                <w:i/>
                <w:iCs/>
                <w:lang w:val="lv-LV" w:eastAsia="ar-SA"/>
              </w:rPr>
              <w:t>euro</w:t>
            </w:r>
            <w:r w:rsidR="000B676B" w:rsidRPr="000B676B">
              <w:rPr>
                <w:lang w:val="lv-LV" w:eastAsia="ar-SA"/>
              </w:rPr>
              <w:t>, 0 centi).</w:t>
            </w:r>
          </w:p>
        </w:tc>
      </w:tr>
    </w:tbl>
    <w:p w14:paraId="01E097C5" w14:textId="74DDB3E7" w:rsidR="00EC652B" w:rsidRPr="000B676B" w:rsidRDefault="00EC652B" w:rsidP="00A56E70">
      <w:pPr>
        <w:pStyle w:val="Sarakstarindkopa"/>
        <w:ind w:left="0"/>
        <w:jc w:val="both"/>
        <w:rPr>
          <w:lang w:val="lv-LV"/>
        </w:rPr>
      </w:pPr>
    </w:p>
    <w:p w14:paraId="6269C4E7" w14:textId="77777777" w:rsidR="000B676B" w:rsidRPr="000B676B" w:rsidRDefault="000B676B" w:rsidP="000B676B">
      <w:pPr>
        <w:jc w:val="both"/>
        <w:rPr>
          <w:lang w:val="lv-LV" w:eastAsia="ar-SA"/>
        </w:rPr>
      </w:pPr>
      <w:r w:rsidRPr="000B676B">
        <w:rPr>
          <w:lang w:val="lv-LV" w:eastAsia="ar-SA"/>
        </w:rPr>
        <w:t xml:space="preserve">Nolikuma 16.punkts paredz, ka piedāvājuma izvērtēšanas kritērijs ir saimnieciski visizdevīgākais piedāvājums. Par saimnieciski visizdevīgāko piedāvājumu Komisija atzīs piedāvājumu, kurš iegūs visaugstāko vērtējumu. </w:t>
      </w:r>
    </w:p>
    <w:p w14:paraId="0EB3C34A" w14:textId="77777777" w:rsidR="000B676B" w:rsidRPr="000B676B" w:rsidRDefault="000B676B" w:rsidP="000B676B">
      <w:pPr>
        <w:jc w:val="both"/>
        <w:rPr>
          <w:lang w:val="lv-LV" w:eastAsia="ar-SA"/>
        </w:rPr>
      </w:pPr>
      <w:r w:rsidRPr="000B676B">
        <w:rPr>
          <w:lang w:val="lv-LV" w:eastAsia="ar-SA"/>
        </w:rPr>
        <w:t>Piedāvājumu 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6736"/>
        <w:gridCol w:w="1523"/>
      </w:tblGrid>
      <w:tr w:rsidR="000B676B" w:rsidRPr="000B676B" w14:paraId="15A6BFF3" w14:textId="77777777" w:rsidTr="003A2A5E">
        <w:trPr>
          <w:cantSplit/>
          <w:trHeight w:val="35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1579A8B" w14:textId="77777777" w:rsidR="000B676B" w:rsidRPr="000B676B" w:rsidRDefault="000B676B" w:rsidP="003A2A5E">
            <w:pPr>
              <w:jc w:val="both"/>
              <w:rPr>
                <w:color w:val="000000"/>
                <w:szCs w:val="26"/>
                <w:lang w:val="lv-LV" w:eastAsia="lv-LV"/>
              </w:rPr>
            </w:pPr>
            <w:r w:rsidRPr="000B676B">
              <w:rPr>
                <w:color w:val="000000"/>
                <w:szCs w:val="26"/>
                <w:lang w:val="lv-LV" w:eastAsia="lv-LV"/>
              </w:rPr>
              <w:t>Nr.</w:t>
            </w:r>
          </w:p>
        </w:tc>
        <w:tc>
          <w:tcPr>
            <w:tcW w:w="3774" w:type="pct"/>
            <w:tcBorders>
              <w:top w:val="single" w:sz="4" w:space="0" w:color="auto"/>
              <w:left w:val="single" w:sz="4" w:space="0" w:color="auto"/>
              <w:bottom w:val="single" w:sz="4" w:space="0" w:color="auto"/>
              <w:right w:val="single" w:sz="4" w:space="0" w:color="auto"/>
            </w:tcBorders>
            <w:shd w:val="clear" w:color="auto" w:fill="auto"/>
            <w:vAlign w:val="center"/>
          </w:tcPr>
          <w:p w14:paraId="38D083DD" w14:textId="77777777" w:rsidR="000B676B" w:rsidRPr="000B676B" w:rsidRDefault="000B676B" w:rsidP="003A2A5E">
            <w:pPr>
              <w:jc w:val="center"/>
              <w:rPr>
                <w:b/>
                <w:bCs/>
                <w:lang w:val="lv-LV"/>
              </w:rPr>
            </w:pPr>
            <w:r w:rsidRPr="000B676B">
              <w:rPr>
                <w:b/>
                <w:bCs/>
                <w:lang w:val="lv-LV"/>
              </w:rPr>
              <w:t>Kritērija nosaukums</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14:paraId="325F860F" w14:textId="77777777" w:rsidR="000B676B" w:rsidRPr="000B676B" w:rsidRDefault="000B676B" w:rsidP="003A2A5E">
            <w:pPr>
              <w:jc w:val="center"/>
              <w:rPr>
                <w:b/>
                <w:bCs/>
                <w:lang w:val="lv-LV"/>
              </w:rPr>
            </w:pPr>
            <w:r w:rsidRPr="000B676B">
              <w:rPr>
                <w:b/>
                <w:bCs/>
                <w:lang w:val="lv-LV"/>
              </w:rPr>
              <w:t>Maksimālais punktu skaits</w:t>
            </w:r>
          </w:p>
        </w:tc>
      </w:tr>
      <w:tr w:rsidR="000B676B" w:rsidRPr="000B676B" w14:paraId="158DDDF5" w14:textId="77777777" w:rsidTr="003A2A5E">
        <w:trPr>
          <w:cantSplit/>
        </w:trPr>
        <w:tc>
          <w:tcPr>
            <w:tcW w:w="458" w:type="pct"/>
            <w:tcBorders>
              <w:top w:val="single" w:sz="4" w:space="0" w:color="auto"/>
              <w:left w:val="single" w:sz="4" w:space="0" w:color="auto"/>
              <w:bottom w:val="single" w:sz="4" w:space="0" w:color="auto"/>
              <w:right w:val="single" w:sz="4" w:space="0" w:color="auto"/>
            </w:tcBorders>
            <w:vAlign w:val="center"/>
          </w:tcPr>
          <w:p w14:paraId="391E803B" w14:textId="77777777" w:rsidR="000B676B" w:rsidRPr="000B676B" w:rsidRDefault="000B676B" w:rsidP="003A2A5E">
            <w:pPr>
              <w:ind w:right="152"/>
              <w:jc w:val="both"/>
              <w:rPr>
                <w:color w:val="000000"/>
                <w:szCs w:val="26"/>
                <w:lang w:val="lv-LV" w:eastAsia="lv-LV"/>
              </w:rPr>
            </w:pPr>
            <w:r w:rsidRPr="000B676B">
              <w:rPr>
                <w:color w:val="000000"/>
                <w:szCs w:val="26"/>
                <w:lang w:val="lv-LV" w:eastAsia="lv-LV"/>
              </w:rPr>
              <w:t>16.2.1.</w:t>
            </w:r>
          </w:p>
        </w:tc>
        <w:tc>
          <w:tcPr>
            <w:tcW w:w="3774" w:type="pct"/>
            <w:tcBorders>
              <w:top w:val="single" w:sz="4" w:space="0" w:color="auto"/>
              <w:left w:val="single" w:sz="4" w:space="0" w:color="auto"/>
              <w:bottom w:val="single" w:sz="4" w:space="0" w:color="auto"/>
              <w:right w:val="single" w:sz="4" w:space="0" w:color="auto"/>
            </w:tcBorders>
          </w:tcPr>
          <w:p w14:paraId="622A1EB0" w14:textId="77777777" w:rsidR="000B676B" w:rsidRPr="000B676B" w:rsidRDefault="000B676B" w:rsidP="003A2A5E">
            <w:pPr>
              <w:jc w:val="both"/>
              <w:rPr>
                <w:b/>
                <w:lang w:val="lv-LV" w:eastAsia="ar-SA"/>
              </w:rPr>
            </w:pPr>
            <w:r w:rsidRPr="000B676B">
              <w:rPr>
                <w:b/>
                <w:lang w:val="lv-LV" w:eastAsia="ar-SA"/>
              </w:rPr>
              <w:t>Cena (C)</w:t>
            </w:r>
          </w:p>
          <w:p w14:paraId="04E83C2E" w14:textId="77777777" w:rsidR="000B676B" w:rsidRPr="000B676B" w:rsidRDefault="000B676B" w:rsidP="003A2A5E">
            <w:pPr>
              <w:autoSpaceDE w:val="0"/>
              <w:autoSpaceDN w:val="0"/>
              <w:adjustRightInd w:val="0"/>
              <w:jc w:val="both"/>
              <w:rPr>
                <w:lang w:val="lv-LV" w:eastAsia="ar-SA"/>
              </w:rPr>
            </w:pPr>
            <w:r w:rsidRPr="000B676B">
              <w:rPr>
                <w:lang w:val="lv-LV" w:eastAsia="ar-SA"/>
              </w:rPr>
              <w:t>Saskaņā ar nolikuma 1.pielikumu “</w:t>
            </w:r>
            <w:r w:rsidRPr="000B676B">
              <w:rPr>
                <w:rStyle w:val="FontStyle54"/>
                <w:lang w:val="lv-LV"/>
              </w:rPr>
              <w:t>Pieteikums</w:t>
            </w:r>
            <w:r w:rsidRPr="000B676B">
              <w:rPr>
                <w:lang w:val="lv-LV" w:eastAsia="ar-SA"/>
              </w:rPr>
              <w:t>” un 2.pielikumu “</w:t>
            </w:r>
            <w:r w:rsidRPr="000B676B">
              <w:rPr>
                <w:color w:val="000000"/>
                <w:szCs w:val="26"/>
                <w:lang w:val="lv-LV" w:eastAsia="lv-LV"/>
              </w:rPr>
              <w:t>Tehniskā specifikācija un pretendenta tehniskā un finanšu piedāvājuma forma</w:t>
            </w:r>
            <w:r w:rsidRPr="000B676B">
              <w:rPr>
                <w:lang w:val="lv-LV" w:eastAsia="ar-SA"/>
              </w:rPr>
              <w:t xml:space="preserve">” pretendents norāda kopējo līgumcenu bez PVN. </w:t>
            </w:r>
          </w:p>
          <w:p w14:paraId="5C5955F3" w14:textId="77777777" w:rsidR="000B676B" w:rsidRPr="000B676B" w:rsidRDefault="000B676B" w:rsidP="003A2A5E">
            <w:pPr>
              <w:autoSpaceDE w:val="0"/>
              <w:autoSpaceDN w:val="0"/>
              <w:adjustRightInd w:val="0"/>
              <w:jc w:val="both"/>
              <w:rPr>
                <w:lang w:val="lv-LV" w:eastAsia="ar-SA"/>
              </w:rPr>
            </w:pPr>
            <w:r w:rsidRPr="000B676B">
              <w:rPr>
                <w:lang w:val="lv-LV" w:eastAsia="ar-SA"/>
              </w:rPr>
              <w:t xml:space="preserve">Maksimālais punktu skaits (50) tiek piešķirts pretendentam, kurš piedāvājis zemāko cenu Iepirkuma finanšu piedāvājuma kopsavilkuma pozīcijā “Līgumcena bez PVN, </w:t>
            </w:r>
            <w:r w:rsidRPr="000B676B">
              <w:rPr>
                <w:i/>
                <w:iCs/>
                <w:lang w:val="lv-LV" w:eastAsia="ar-SA"/>
              </w:rPr>
              <w:t>euro</w:t>
            </w:r>
            <w:r w:rsidRPr="000B676B">
              <w:rPr>
                <w:lang w:val="lv-LV" w:eastAsia="ar-SA"/>
              </w:rPr>
              <w:t>”. Pārējiem pretendentiem punkti tiek piešķirti, ievērojot proporcionalitātes principu, punktu skaitu aprēķinot pēc formulas:</w:t>
            </w:r>
          </w:p>
          <w:p w14:paraId="6A432FAE" w14:textId="77777777" w:rsidR="000B676B" w:rsidRPr="000B676B" w:rsidRDefault="000B676B" w:rsidP="003A2A5E">
            <w:pPr>
              <w:autoSpaceDE w:val="0"/>
              <w:autoSpaceDN w:val="0"/>
              <w:adjustRightInd w:val="0"/>
              <w:jc w:val="both"/>
              <w:rPr>
                <w:lang w:val="lv-LV" w:eastAsia="ar-SA"/>
              </w:rPr>
            </w:pPr>
            <w:r w:rsidRPr="000B676B">
              <w:rPr>
                <w:lang w:val="lv-LV" w:eastAsia="ar-SA"/>
              </w:rPr>
              <w:t>C = Czem/Cver x 50, kur:</w:t>
            </w:r>
          </w:p>
          <w:p w14:paraId="2E890F56" w14:textId="77777777" w:rsidR="000B676B" w:rsidRPr="000B676B" w:rsidRDefault="000B676B" w:rsidP="003A2A5E">
            <w:pPr>
              <w:autoSpaceDE w:val="0"/>
              <w:autoSpaceDN w:val="0"/>
              <w:adjustRightInd w:val="0"/>
              <w:jc w:val="both"/>
              <w:rPr>
                <w:lang w:val="lv-LV" w:eastAsia="ar-SA"/>
              </w:rPr>
            </w:pPr>
            <w:r w:rsidRPr="000B676B">
              <w:rPr>
                <w:lang w:val="lv-LV" w:eastAsia="ar-SA"/>
              </w:rPr>
              <w:t>C – pretendenta iegūtais punktu skaits ar precizitāti līdz 2 (diviem) cipariem aiz komata;</w:t>
            </w:r>
          </w:p>
          <w:p w14:paraId="5B1E2A03" w14:textId="77777777" w:rsidR="000B676B" w:rsidRPr="000B676B" w:rsidRDefault="000B676B" w:rsidP="003A2A5E">
            <w:pPr>
              <w:autoSpaceDE w:val="0"/>
              <w:autoSpaceDN w:val="0"/>
              <w:adjustRightInd w:val="0"/>
              <w:jc w:val="both"/>
              <w:rPr>
                <w:lang w:val="lv-LV" w:eastAsia="ar-SA"/>
              </w:rPr>
            </w:pPr>
            <w:r w:rsidRPr="000B676B">
              <w:rPr>
                <w:lang w:val="lv-LV" w:eastAsia="ar-SA"/>
              </w:rPr>
              <w:t>Czem – zemākā cena, kuru piedāvā kāds no pretendentiem;</w:t>
            </w:r>
          </w:p>
          <w:p w14:paraId="2F3E91C7" w14:textId="77777777" w:rsidR="000B676B" w:rsidRPr="000B676B" w:rsidRDefault="000B676B" w:rsidP="003A2A5E">
            <w:pPr>
              <w:autoSpaceDE w:val="0"/>
              <w:autoSpaceDN w:val="0"/>
              <w:adjustRightInd w:val="0"/>
              <w:jc w:val="both"/>
              <w:rPr>
                <w:lang w:val="lv-LV" w:eastAsia="ar-SA"/>
              </w:rPr>
            </w:pPr>
            <w:r w:rsidRPr="000B676B">
              <w:rPr>
                <w:lang w:val="lv-LV" w:eastAsia="ar-SA"/>
              </w:rPr>
              <w:t>Cver – vērtējamā pretendenta piedāvātā cena;</w:t>
            </w:r>
          </w:p>
          <w:p w14:paraId="0E6B4D39" w14:textId="77777777" w:rsidR="000B676B" w:rsidRPr="000B676B" w:rsidRDefault="000B676B" w:rsidP="000B676B">
            <w:pPr>
              <w:pStyle w:val="Sarakstarindkopa"/>
              <w:numPr>
                <w:ilvl w:val="1"/>
                <w:numId w:val="9"/>
              </w:numPr>
              <w:autoSpaceDE w:val="0"/>
              <w:autoSpaceDN w:val="0"/>
              <w:adjustRightInd w:val="0"/>
              <w:contextualSpacing/>
              <w:jc w:val="both"/>
              <w:rPr>
                <w:lang w:val="lv-LV"/>
              </w:rPr>
            </w:pPr>
            <w:r w:rsidRPr="000B676B">
              <w:rPr>
                <w:lang w:val="lv-LV" w:eastAsia="ar-SA"/>
              </w:rPr>
              <w:t>– maksimālais punktu skaits šajā kritērijā.</w:t>
            </w:r>
          </w:p>
        </w:tc>
        <w:tc>
          <w:tcPr>
            <w:tcW w:w="768" w:type="pct"/>
            <w:tcBorders>
              <w:top w:val="single" w:sz="4" w:space="0" w:color="auto"/>
              <w:left w:val="single" w:sz="4" w:space="0" w:color="auto"/>
              <w:bottom w:val="single" w:sz="4" w:space="0" w:color="auto"/>
              <w:right w:val="single" w:sz="4" w:space="0" w:color="auto"/>
            </w:tcBorders>
            <w:vAlign w:val="center"/>
          </w:tcPr>
          <w:p w14:paraId="457E3396" w14:textId="77777777" w:rsidR="000B676B" w:rsidRPr="000B676B" w:rsidRDefault="000B676B" w:rsidP="003A2A5E">
            <w:pPr>
              <w:jc w:val="center"/>
              <w:rPr>
                <w:bCs/>
                <w:lang w:val="lv-LV"/>
              </w:rPr>
            </w:pPr>
            <w:r w:rsidRPr="000B676B">
              <w:rPr>
                <w:bCs/>
                <w:lang w:val="lv-LV"/>
              </w:rPr>
              <w:t>50</w:t>
            </w:r>
          </w:p>
        </w:tc>
      </w:tr>
      <w:tr w:rsidR="000B676B" w:rsidRPr="000B676B" w14:paraId="347F3786" w14:textId="77777777" w:rsidTr="003A2A5E">
        <w:trPr>
          <w:cantSplit/>
        </w:trPr>
        <w:tc>
          <w:tcPr>
            <w:tcW w:w="458" w:type="pct"/>
            <w:tcBorders>
              <w:top w:val="single" w:sz="4" w:space="0" w:color="auto"/>
              <w:left w:val="single" w:sz="4" w:space="0" w:color="auto"/>
              <w:bottom w:val="single" w:sz="4" w:space="0" w:color="auto"/>
              <w:right w:val="single" w:sz="4" w:space="0" w:color="auto"/>
            </w:tcBorders>
            <w:vAlign w:val="center"/>
          </w:tcPr>
          <w:p w14:paraId="7E88B905" w14:textId="77777777" w:rsidR="000B676B" w:rsidRPr="000B676B" w:rsidRDefault="000B676B" w:rsidP="003A2A5E">
            <w:pPr>
              <w:ind w:right="152"/>
              <w:jc w:val="both"/>
              <w:rPr>
                <w:color w:val="000000"/>
                <w:szCs w:val="26"/>
                <w:lang w:val="lv-LV" w:eastAsia="lv-LV"/>
              </w:rPr>
            </w:pPr>
            <w:r w:rsidRPr="000B676B">
              <w:rPr>
                <w:color w:val="000000"/>
                <w:szCs w:val="26"/>
                <w:lang w:val="lv-LV" w:eastAsia="lv-LV"/>
              </w:rPr>
              <w:lastRenderedPageBreak/>
              <w:t>16.2.2.</w:t>
            </w:r>
          </w:p>
        </w:tc>
        <w:tc>
          <w:tcPr>
            <w:tcW w:w="3774" w:type="pct"/>
            <w:tcBorders>
              <w:top w:val="single" w:sz="4" w:space="0" w:color="auto"/>
              <w:left w:val="single" w:sz="4" w:space="0" w:color="auto"/>
              <w:bottom w:val="single" w:sz="4" w:space="0" w:color="auto"/>
              <w:right w:val="single" w:sz="4" w:space="0" w:color="auto"/>
            </w:tcBorders>
          </w:tcPr>
          <w:p w14:paraId="5E2EFDC9" w14:textId="77777777" w:rsidR="000B676B" w:rsidRPr="000B676B" w:rsidRDefault="000B676B" w:rsidP="003A2A5E">
            <w:pPr>
              <w:autoSpaceDE w:val="0"/>
              <w:autoSpaceDN w:val="0"/>
              <w:adjustRightInd w:val="0"/>
              <w:jc w:val="both"/>
              <w:rPr>
                <w:b/>
                <w:bCs/>
                <w:lang w:val="lv-LV" w:eastAsia="ar-SA"/>
              </w:rPr>
            </w:pPr>
            <w:r w:rsidRPr="000B676B">
              <w:rPr>
                <w:b/>
                <w:bCs/>
                <w:lang w:val="lv-LV" w:eastAsia="ar-SA"/>
              </w:rPr>
              <w:t xml:space="preserve">Līguma izpildes termiņš (T) </w:t>
            </w:r>
          </w:p>
          <w:p w14:paraId="4BCAE35B" w14:textId="77777777" w:rsidR="000B676B" w:rsidRPr="000B676B" w:rsidRDefault="000B676B" w:rsidP="003A2A5E">
            <w:pPr>
              <w:autoSpaceDE w:val="0"/>
              <w:autoSpaceDN w:val="0"/>
              <w:adjustRightInd w:val="0"/>
              <w:jc w:val="both"/>
              <w:rPr>
                <w:lang w:val="lv-LV" w:eastAsia="ar-SA"/>
              </w:rPr>
            </w:pPr>
            <w:r w:rsidRPr="000B676B">
              <w:rPr>
                <w:lang w:val="lv-LV" w:eastAsia="ar-SA"/>
              </w:rPr>
              <w:t>Saskaņā ar nolikuma 1.pielikumu “Pieteikums” pretendents norāda Pasūtījuma izpildes/Preču piegādes laiku, t.i., cik kalendāro dienu laikā no iepirkuma līguma noslēgšanas brīža tiks nodrošināta preču piegāde un uzstādīšana.</w:t>
            </w:r>
          </w:p>
          <w:p w14:paraId="41810402" w14:textId="77777777" w:rsidR="000B676B" w:rsidRPr="000B676B" w:rsidRDefault="000B676B" w:rsidP="003A2A5E">
            <w:pPr>
              <w:autoSpaceDE w:val="0"/>
              <w:autoSpaceDN w:val="0"/>
              <w:adjustRightInd w:val="0"/>
              <w:jc w:val="both"/>
              <w:rPr>
                <w:lang w:val="lv-LV" w:eastAsia="ar-SA"/>
              </w:rPr>
            </w:pPr>
            <w:r w:rsidRPr="000B676B">
              <w:rPr>
                <w:lang w:val="lv-LV" w:eastAsia="ar-SA"/>
              </w:rPr>
              <w:t>Maksimālais punktu skaits (40) tiek piešķirts pretendentam, kurš piedāvājis īsāko iepirkuma līguma izpildes laiku, t.i., mazāko kalendāro dienu skaitu. Pārējiem pretendentiem punkti tiek piešķirti, ievērojot proporcionalitātes principu, punktu skaitu aprēķinot pēc formulas:</w:t>
            </w:r>
          </w:p>
          <w:p w14:paraId="0D83946D" w14:textId="77777777" w:rsidR="000B676B" w:rsidRPr="000B676B" w:rsidRDefault="000B676B" w:rsidP="003A2A5E">
            <w:pPr>
              <w:autoSpaceDE w:val="0"/>
              <w:autoSpaceDN w:val="0"/>
              <w:adjustRightInd w:val="0"/>
              <w:jc w:val="both"/>
              <w:rPr>
                <w:lang w:val="lv-LV" w:eastAsia="ar-SA"/>
              </w:rPr>
            </w:pPr>
            <w:r w:rsidRPr="000B676B">
              <w:rPr>
                <w:lang w:val="lv-LV" w:eastAsia="ar-SA"/>
              </w:rPr>
              <w:t>T = Tmin/Tver x 40, kur:</w:t>
            </w:r>
          </w:p>
          <w:p w14:paraId="0BE1C8F5" w14:textId="77777777" w:rsidR="000B676B" w:rsidRPr="000B676B" w:rsidRDefault="000B676B" w:rsidP="003A2A5E">
            <w:pPr>
              <w:autoSpaceDE w:val="0"/>
              <w:autoSpaceDN w:val="0"/>
              <w:adjustRightInd w:val="0"/>
              <w:jc w:val="both"/>
              <w:rPr>
                <w:lang w:val="lv-LV" w:eastAsia="ar-SA"/>
              </w:rPr>
            </w:pPr>
            <w:r w:rsidRPr="000B676B">
              <w:rPr>
                <w:lang w:val="lv-LV" w:eastAsia="ar-SA"/>
              </w:rPr>
              <w:t>T – pretendenta iegūtais punktu skaits ar precizitāti līdz 2 (diviem) cipariem aiz komata;</w:t>
            </w:r>
          </w:p>
          <w:p w14:paraId="6FE70AAF" w14:textId="77777777" w:rsidR="000B676B" w:rsidRPr="000B676B" w:rsidRDefault="000B676B" w:rsidP="003A2A5E">
            <w:pPr>
              <w:autoSpaceDE w:val="0"/>
              <w:autoSpaceDN w:val="0"/>
              <w:adjustRightInd w:val="0"/>
              <w:jc w:val="both"/>
              <w:rPr>
                <w:lang w:val="lv-LV" w:eastAsia="ar-SA"/>
              </w:rPr>
            </w:pPr>
            <w:r w:rsidRPr="000B676B">
              <w:rPr>
                <w:lang w:val="lv-LV" w:eastAsia="ar-SA"/>
              </w:rPr>
              <w:t>Tmin – mazākais kalendāro dienu skaits;</w:t>
            </w:r>
          </w:p>
          <w:p w14:paraId="0D91D7CF" w14:textId="77777777" w:rsidR="000B676B" w:rsidRPr="000B676B" w:rsidRDefault="000B676B" w:rsidP="003A2A5E">
            <w:pPr>
              <w:autoSpaceDE w:val="0"/>
              <w:autoSpaceDN w:val="0"/>
              <w:adjustRightInd w:val="0"/>
              <w:jc w:val="both"/>
              <w:rPr>
                <w:lang w:val="lv-LV" w:eastAsia="ar-SA"/>
              </w:rPr>
            </w:pPr>
            <w:r w:rsidRPr="000B676B">
              <w:rPr>
                <w:lang w:val="lv-LV" w:eastAsia="ar-SA"/>
              </w:rPr>
              <w:t>Tver – vērtējamā pretendenta piedāvātais kalendāro dienu skaits;</w:t>
            </w:r>
          </w:p>
          <w:p w14:paraId="2F10D9F8" w14:textId="77777777" w:rsidR="000B676B" w:rsidRPr="000B676B" w:rsidRDefault="000B676B" w:rsidP="000B676B">
            <w:pPr>
              <w:pStyle w:val="Sarakstarindkopa"/>
              <w:numPr>
                <w:ilvl w:val="0"/>
                <w:numId w:val="10"/>
              </w:numPr>
              <w:autoSpaceDE w:val="0"/>
              <w:autoSpaceDN w:val="0"/>
              <w:adjustRightInd w:val="0"/>
              <w:contextualSpacing/>
              <w:jc w:val="both"/>
              <w:rPr>
                <w:b/>
                <w:lang w:val="lv-LV" w:eastAsia="ar-SA"/>
              </w:rPr>
            </w:pPr>
            <w:r w:rsidRPr="000B676B">
              <w:rPr>
                <w:lang w:val="lv-LV" w:eastAsia="ar-SA"/>
              </w:rPr>
              <w:t>– maksimālais punktu skaits šajā kritērijā.</w:t>
            </w:r>
          </w:p>
        </w:tc>
        <w:tc>
          <w:tcPr>
            <w:tcW w:w="768" w:type="pct"/>
            <w:tcBorders>
              <w:top w:val="single" w:sz="4" w:space="0" w:color="auto"/>
              <w:left w:val="single" w:sz="4" w:space="0" w:color="auto"/>
              <w:bottom w:val="single" w:sz="4" w:space="0" w:color="auto"/>
              <w:right w:val="single" w:sz="4" w:space="0" w:color="auto"/>
            </w:tcBorders>
            <w:vAlign w:val="center"/>
          </w:tcPr>
          <w:p w14:paraId="3486DAA8" w14:textId="77777777" w:rsidR="000B676B" w:rsidRPr="000B676B" w:rsidRDefault="000B676B" w:rsidP="003A2A5E">
            <w:pPr>
              <w:jc w:val="center"/>
              <w:rPr>
                <w:bCs/>
                <w:lang w:val="lv-LV"/>
              </w:rPr>
            </w:pPr>
            <w:r w:rsidRPr="000B676B">
              <w:rPr>
                <w:bCs/>
                <w:lang w:val="lv-LV"/>
              </w:rPr>
              <w:t>40</w:t>
            </w:r>
          </w:p>
        </w:tc>
      </w:tr>
      <w:tr w:rsidR="000B676B" w:rsidRPr="000B676B" w14:paraId="673F6976" w14:textId="77777777" w:rsidTr="003A2A5E">
        <w:trPr>
          <w:cantSplit/>
          <w:trHeight w:val="50"/>
        </w:trPr>
        <w:tc>
          <w:tcPr>
            <w:tcW w:w="458" w:type="pct"/>
            <w:tcBorders>
              <w:top w:val="single" w:sz="4" w:space="0" w:color="auto"/>
              <w:left w:val="single" w:sz="4" w:space="0" w:color="auto"/>
              <w:bottom w:val="single" w:sz="4" w:space="0" w:color="auto"/>
              <w:right w:val="single" w:sz="4" w:space="0" w:color="auto"/>
            </w:tcBorders>
            <w:vAlign w:val="center"/>
          </w:tcPr>
          <w:p w14:paraId="0F81D704" w14:textId="77777777" w:rsidR="000B676B" w:rsidRPr="000B676B" w:rsidRDefault="000B676B" w:rsidP="003A2A5E">
            <w:pPr>
              <w:ind w:right="152"/>
              <w:jc w:val="both"/>
              <w:rPr>
                <w:color w:val="000000"/>
                <w:szCs w:val="26"/>
                <w:lang w:val="lv-LV" w:eastAsia="lv-LV"/>
              </w:rPr>
            </w:pPr>
            <w:r w:rsidRPr="000B676B">
              <w:rPr>
                <w:color w:val="000000"/>
                <w:szCs w:val="26"/>
                <w:lang w:val="lv-LV" w:eastAsia="lv-LV"/>
              </w:rPr>
              <w:t>16.2.3.</w:t>
            </w:r>
          </w:p>
        </w:tc>
        <w:tc>
          <w:tcPr>
            <w:tcW w:w="3774" w:type="pct"/>
            <w:tcBorders>
              <w:top w:val="single" w:sz="4" w:space="0" w:color="auto"/>
              <w:left w:val="single" w:sz="4" w:space="0" w:color="auto"/>
              <w:bottom w:val="single" w:sz="4" w:space="0" w:color="auto"/>
              <w:right w:val="single" w:sz="4" w:space="0" w:color="auto"/>
            </w:tcBorders>
          </w:tcPr>
          <w:p w14:paraId="032264F0" w14:textId="77777777" w:rsidR="000B676B" w:rsidRPr="000B676B" w:rsidRDefault="000B676B" w:rsidP="003A2A5E">
            <w:pPr>
              <w:rPr>
                <w:b/>
                <w:lang w:val="lv-LV"/>
              </w:rPr>
            </w:pPr>
            <w:r w:rsidRPr="000B676B">
              <w:rPr>
                <w:b/>
                <w:lang w:val="lv-LV"/>
              </w:rPr>
              <w:t>Garantijas termiņš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0"/>
              <w:gridCol w:w="2170"/>
            </w:tblGrid>
            <w:tr w:rsidR="000B676B" w:rsidRPr="000B676B" w14:paraId="1448C225" w14:textId="77777777" w:rsidTr="003A2A5E">
              <w:trPr>
                <w:trHeight w:val="203"/>
              </w:trPr>
              <w:tc>
                <w:tcPr>
                  <w:tcW w:w="3333" w:type="pct"/>
                  <w:shd w:val="clear" w:color="auto" w:fill="auto"/>
                  <w:vAlign w:val="center"/>
                </w:tcPr>
                <w:p w14:paraId="5986EC4E" w14:textId="77777777" w:rsidR="000B676B" w:rsidRPr="000B676B" w:rsidRDefault="000B676B" w:rsidP="003A2A5E">
                  <w:pPr>
                    <w:pStyle w:val="Outline4limenis"/>
                    <w:tabs>
                      <w:tab w:val="clear" w:pos="0"/>
                    </w:tabs>
                    <w:spacing w:after="0"/>
                    <w:jc w:val="center"/>
                    <w:rPr>
                      <w:b/>
                      <w:sz w:val="24"/>
                      <w:szCs w:val="24"/>
                    </w:rPr>
                  </w:pPr>
                  <w:r w:rsidRPr="000B676B">
                    <w:rPr>
                      <w:b/>
                      <w:sz w:val="24"/>
                      <w:szCs w:val="24"/>
                    </w:rPr>
                    <w:t xml:space="preserve">Garantijas termiņš </w:t>
                  </w:r>
                </w:p>
              </w:tc>
              <w:tc>
                <w:tcPr>
                  <w:tcW w:w="1667" w:type="pct"/>
                  <w:shd w:val="clear" w:color="auto" w:fill="auto"/>
                  <w:vAlign w:val="center"/>
                </w:tcPr>
                <w:p w14:paraId="2824511E" w14:textId="77777777" w:rsidR="000B676B" w:rsidRPr="000B676B" w:rsidRDefault="000B676B" w:rsidP="003A2A5E">
                  <w:pPr>
                    <w:pStyle w:val="Outline4limenis"/>
                    <w:tabs>
                      <w:tab w:val="clear" w:pos="0"/>
                    </w:tabs>
                    <w:spacing w:after="0"/>
                    <w:jc w:val="center"/>
                    <w:rPr>
                      <w:b/>
                      <w:sz w:val="24"/>
                      <w:szCs w:val="24"/>
                    </w:rPr>
                  </w:pPr>
                  <w:r w:rsidRPr="000B676B">
                    <w:rPr>
                      <w:b/>
                      <w:sz w:val="24"/>
                      <w:szCs w:val="24"/>
                    </w:rPr>
                    <w:t xml:space="preserve">Punktu skaits </w:t>
                  </w:r>
                </w:p>
              </w:tc>
            </w:tr>
            <w:tr w:rsidR="000B676B" w:rsidRPr="000B676B" w14:paraId="4E8CB68F" w14:textId="77777777" w:rsidTr="003A2A5E">
              <w:trPr>
                <w:trHeight w:val="203"/>
              </w:trPr>
              <w:tc>
                <w:tcPr>
                  <w:tcW w:w="3333" w:type="pct"/>
                  <w:shd w:val="clear" w:color="auto" w:fill="auto"/>
                  <w:vAlign w:val="bottom"/>
                </w:tcPr>
                <w:p w14:paraId="464CBB8A"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60 mēneši vai vairāk</w:t>
                  </w:r>
                </w:p>
              </w:tc>
              <w:tc>
                <w:tcPr>
                  <w:tcW w:w="1667" w:type="pct"/>
                  <w:shd w:val="clear" w:color="auto" w:fill="auto"/>
                  <w:vAlign w:val="bottom"/>
                </w:tcPr>
                <w:p w14:paraId="08C37C85"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10</w:t>
                  </w:r>
                </w:p>
              </w:tc>
            </w:tr>
            <w:tr w:rsidR="000B676B" w:rsidRPr="000B676B" w14:paraId="0AE4E04B" w14:textId="77777777" w:rsidTr="003A2A5E">
              <w:trPr>
                <w:trHeight w:val="203"/>
              </w:trPr>
              <w:tc>
                <w:tcPr>
                  <w:tcW w:w="3333" w:type="pct"/>
                  <w:shd w:val="clear" w:color="auto" w:fill="auto"/>
                  <w:vAlign w:val="bottom"/>
                </w:tcPr>
                <w:p w14:paraId="0744674A"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48 mēneši</w:t>
                  </w:r>
                </w:p>
              </w:tc>
              <w:tc>
                <w:tcPr>
                  <w:tcW w:w="1667" w:type="pct"/>
                  <w:shd w:val="clear" w:color="auto" w:fill="auto"/>
                  <w:vAlign w:val="bottom"/>
                </w:tcPr>
                <w:p w14:paraId="663B4577"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6</w:t>
                  </w:r>
                </w:p>
              </w:tc>
            </w:tr>
            <w:tr w:rsidR="000B676B" w:rsidRPr="000B676B" w14:paraId="73B7C323" w14:textId="77777777" w:rsidTr="003A2A5E">
              <w:trPr>
                <w:trHeight w:val="203"/>
              </w:trPr>
              <w:tc>
                <w:tcPr>
                  <w:tcW w:w="3333" w:type="pct"/>
                  <w:shd w:val="clear" w:color="auto" w:fill="auto"/>
                  <w:vAlign w:val="bottom"/>
                </w:tcPr>
                <w:p w14:paraId="097D4C9B"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36 mēneši</w:t>
                  </w:r>
                </w:p>
              </w:tc>
              <w:tc>
                <w:tcPr>
                  <w:tcW w:w="1667" w:type="pct"/>
                  <w:shd w:val="clear" w:color="auto" w:fill="auto"/>
                  <w:vAlign w:val="bottom"/>
                </w:tcPr>
                <w:p w14:paraId="26F081FE"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3</w:t>
                  </w:r>
                </w:p>
              </w:tc>
            </w:tr>
            <w:tr w:rsidR="000B676B" w:rsidRPr="000B676B" w14:paraId="76700C5D" w14:textId="77777777" w:rsidTr="003A2A5E">
              <w:trPr>
                <w:trHeight w:val="203"/>
              </w:trPr>
              <w:tc>
                <w:tcPr>
                  <w:tcW w:w="3333" w:type="pct"/>
                  <w:shd w:val="clear" w:color="auto" w:fill="auto"/>
                  <w:vAlign w:val="bottom"/>
                </w:tcPr>
                <w:p w14:paraId="6BC61C0F"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24 mēneši</w:t>
                  </w:r>
                </w:p>
              </w:tc>
              <w:tc>
                <w:tcPr>
                  <w:tcW w:w="1667" w:type="pct"/>
                  <w:shd w:val="clear" w:color="auto" w:fill="auto"/>
                  <w:vAlign w:val="bottom"/>
                </w:tcPr>
                <w:p w14:paraId="2A2F5F84" w14:textId="77777777" w:rsidR="000B676B" w:rsidRPr="000B676B" w:rsidRDefault="000B676B" w:rsidP="003A2A5E">
                  <w:pPr>
                    <w:pStyle w:val="Outline4limenis"/>
                    <w:tabs>
                      <w:tab w:val="clear" w:pos="0"/>
                    </w:tabs>
                    <w:spacing w:after="0"/>
                    <w:jc w:val="center"/>
                    <w:rPr>
                      <w:sz w:val="24"/>
                      <w:szCs w:val="24"/>
                    </w:rPr>
                  </w:pPr>
                  <w:r w:rsidRPr="000B676B">
                    <w:rPr>
                      <w:sz w:val="24"/>
                      <w:szCs w:val="24"/>
                    </w:rPr>
                    <w:t>0</w:t>
                  </w:r>
                </w:p>
              </w:tc>
            </w:tr>
          </w:tbl>
          <w:p w14:paraId="43973B94" w14:textId="77777777" w:rsidR="000B676B" w:rsidRPr="000B676B" w:rsidRDefault="000B676B" w:rsidP="003A2A5E">
            <w:pPr>
              <w:rPr>
                <w:bCs/>
                <w:lang w:val="lv-LV"/>
              </w:rPr>
            </w:pPr>
          </w:p>
        </w:tc>
        <w:tc>
          <w:tcPr>
            <w:tcW w:w="768" w:type="pct"/>
            <w:tcBorders>
              <w:top w:val="single" w:sz="4" w:space="0" w:color="auto"/>
              <w:left w:val="single" w:sz="4" w:space="0" w:color="auto"/>
              <w:bottom w:val="single" w:sz="4" w:space="0" w:color="auto"/>
              <w:right w:val="single" w:sz="4" w:space="0" w:color="auto"/>
            </w:tcBorders>
            <w:vAlign w:val="center"/>
          </w:tcPr>
          <w:p w14:paraId="1BD576E8" w14:textId="77777777" w:rsidR="000B676B" w:rsidRPr="000B676B" w:rsidRDefault="000B676B" w:rsidP="003A2A5E">
            <w:pPr>
              <w:jc w:val="center"/>
              <w:rPr>
                <w:bCs/>
                <w:lang w:val="lv-LV"/>
              </w:rPr>
            </w:pPr>
            <w:r w:rsidRPr="000B676B">
              <w:rPr>
                <w:bCs/>
                <w:lang w:val="lv-LV"/>
              </w:rPr>
              <w:t>10</w:t>
            </w:r>
          </w:p>
        </w:tc>
      </w:tr>
      <w:tr w:rsidR="000B676B" w:rsidRPr="000B676B" w14:paraId="7FB5DDB7" w14:textId="77777777" w:rsidTr="003A2A5E">
        <w:trPr>
          <w:cantSplit/>
        </w:trPr>
        <w:tc>
          <w:tcPr>
            <w:tcW w:w="4232" w:type="pct"/>
            <w:gridSpan w:val="2"/>
            <w:tcBorders>
              <w:top w:val="single" w:sz="4" w:space="0" w:color="auto"/>
              <w:left w:val="single" w:sz="4" w:space="0" w:color="auto"/>
              <w:bottom w:val="single" w:sz="4" w:space="0" w:color="auto"/>
              <w:right w:val="single" w:sz="4" w:space="0" w:color="auto"/>
            </w:tcBorders>
            <w:vAlign w:val="center"/>
          </w:tcPr>
          <w:p w14:paraId="06BDC324" w14:textId="77777777" w:rsidR="000B676B" w:rsidRPr="000B676B" w:rsidRDefault="000B676B" w:rsidP="003A2A5E">
            <w:pPr>
              <w:jc w:val="right"/>
              <w:rPr>
                <w:b/>
                <w:bCs/>
                <w:lang w:val="lv-LV"/>
              </w:rPr>
            </w:pPr>
            <w:r w:rsidRPr="000B676B">
              <w:rPr>
                <w:b/>
                <w:bCs/>
                <w:lang w:val="lv-LV"/>
              </w:rPr>
              <w:t>Kopā:</w:t>
            </w:r>
          </w:p>
        </w:tc>
        <w:tc>
          <w:tcPr>
            <w:tcW w:w="768" w:type="pct"/>
            <w:tcBorders>
              <w:top w:val="single" w:sz="4" w:space="0" w:color="auto"/>
              <w:left w:val="single" w:sz="4" w:space="0" w:color="auto"/>
              <w:bottom w:val="single" w:sz="4" w:space="0" w:color="auto"/>
              <w:right w:val="single" w:sz="4" w:space="0" w:color="auto"/>
            </w:tcBorders>
            <w:vAlign w:val="center"/>
          </w:tcPr>
          <w:p w14:paraId="38F3E570" w14:textId="77777777" w:rsidR="000B676B" w:rsidRPr="000B676B" w:rsidRDefault="000B676B" w:rsidP="003A2A5E">
            <w:pPr>
              <w:jc w:val="center"/>
              <w:rPr>
                <w:b/>
                <w:bCs/>
                <w:lang w:val="lv-LV"/>
              </w:rPr>
            </w:pPr>
            <w:r w:rsidRPr="000B676B">
              <w:rPr>
                <w:b/>
                <w:bCs/>
                <w:lang w:val="lv-LV"/>
              </w:rPr>
              <w:t>100</w:t>
            </w:r>
          </w:p>
        </w:tc>
      </w:tr>
    </w:tbl>
    <w:p w14:paraId="7F07A21F" w14:textId="77777777" w:rsidR="000B676B" w:rsidRPr="000B676B" w:rsidRDefault="000B676B" w:rsidP="000B676B">
      <w:pPr>
        <w:jc w:val="both"/>
        <w:rPr>
          <w:lang w:val="lv-LV" w:eastAsia="ar-SA"/>
        </w:rPr>
      </w:pPr>
      <w:r w:rsidRPr="000B676B">
        <w:rPr>
          <w:lang w:val="lv-LV" w:eastAsia="ar-SA"/>
        </w:rPr>
        <w:t>Par saimnieciski visizdevīgāko piedāvājumu tiek atzīts piedāvājums, kurš ieguvis vislielāko galīgo vērtējumu V, kas tiek aprēķināts pēc formulas: V = C+T+G.</w:t>
      </w:r>
    </w:p>
    <w:p w14:paraId="62E38E26" w14:textId="4D2F6422" w:rsidR="000B676B" w:rsidRPr="000B676B" w:rsidRDefault="000B676B" w:rsidP="000B676B">
      <w:pPr>
        <w:jc w:val="both"/>
        <w:rPr>
          <w:lang w:val="lv-LV" w:eastAsia="ar-SA"/>
        </w:rPr>
      </w:pPr>
      <w:r w:rsidRPr="000B676B">
        <w:rPr>
          <w:lang w:val="lv-LV" w:eastAsia="ar-SA"/>
        </w:rPr>
        <w:t>Vērtēšanas rezultātā piešķirtie punkti apkopoti zemāk, papildus norādot pretendentu piedāvātās cenas un informāciju par pretendentu salīdzinošajām priekšrocībām:</w:t>
      </w:r>
    </w:p>
    <w:tbl>
      <w:tblPr>
        <w:tblStyle w:val="Reatabula"/>
        <w:tblW w:w="5000" w:type="pct"/>
        <w:tblLayout w:type="fixed"/>
        <w:tblLook w:val="04A0" w:firstRow="1" w:lastRow="0" w:firstColumn="1" w:lastColumn="0" w:noHBand="0" w:noVBand="1"/>
      </w:tblPr>
      <w:tblGrid>
        <w:gridCol w:w="1457"/>
        <w:gridCol w:w="935"/>
        <w:gridCol w:w="887"/>
        <w:gridCol w:w="1369"/>
        <w:gridCol w:w="1326"/>
        <w:gridCol w:w="1194"/>
        <w:gridCol w:w="1298"/>
        <w:gridCol w:w="821"/>
      </w:tblGrid>
      <w:tr w:rsidR="000B676B" w:rsidRPr="000B676B" w14:paraId="52F0AB36" w14:textId="77777777" w:rsidTr="003A2A5E">
        <w:tc>
          <w:tcPr>
            <w:tcW w:w="784" w:type="pct"/>
          </w:tcPr>
          <w:p w14:paraId="4ED130A1" w14:textId="77777777" w:rsidR="000B676B" w:rsidRPr="000B676B" w:rsidRDefault="000B676B" w:rsidP="003A2A5E">
            <w:pPr>
              <w:jc w:val="both"/>
              <w:rPr>
                <w:b/>
                <w:bCs/>
                <w:sz w:val="20"/>
                <w:szCs w:val="20"/>
                <w:lang w:val="lv-LV" w:eastAsia="ar-SA"/>
              </w:rPr>
            </w:pPr>
            <w:r w:rsidRPr="000B676B">
              <w:rPr>
                <w:b/>
                <w:bCs/>
                <w:sz w:val="20"/>
                <w:szCs w:val="20"/>
                <w:lang w:val="lv-LV" w:eastAsia="ar-SA"/>
              </w:rPr>
              <w:t>Pretendents</w:t>
            </w:r>
          </w:p>
        </w:tc>
        <w:tc>
          <w:tcPr>
            <w:tcW w:w="503" w:type="pct"/>
          </w:tcPr>
          <w:p w14:paraId="4A436EBF" w14:textId="77777777" w:rsidR="000B676B" w:rsidRPr="000B676B" w:rsidRDefault="000B676B" w:rsidP="003A2A5E">
            <w:pPr>
              <w:jc w:val="both"/>
              <w:rPr>
                <w:b/>
                <w:bCs/>
                <w:sz w:val="20"/>
                <w:szCs w:val="20"/>
                <w:lang w:val="lv-LV" w:eastAsia="ar-SA"/>
              </w:rPr>
            </w:pPr>
            <w:r w:rsidRPr="000B676B">
              <w:rPr>
                <w:b/>
                <w:bCs/>
                <w:sz w:val="20"/>
                <w:szCs w:val="20"/>
                <w:lang w:val="lv-LV" w:eastAsia="ar-SA"/>
              </w:rPr>
              <w:t>kopējā līgumcena bez PVN, EUR</w:t>
            </w:r>
          </w:p>
        </w:tc>
        <w:tc>
          <w:tcPr>
            <w:tcW w:w="477" w:type="pct"/>
          </w:tcPr>
          <w:p w14:paraId="17FC828F" w14:textId="77777777" w:rsidR="000B676B" w:rsidRPr="000B676B" w:rsidRDefault="000B676B" w:rsidP="003A2A5E">
            <w:pPr>
              <w:jc w:val="both"/>
              <w:rPr>
                <w:b/>
                <w:bCs/>
                <w:sz w:val="20"/>
                <w:szCs w:val="20"/>
                <w:lang w:val="lv-LV" w:eastAsia="ar-SA"/>
              </w:rPr>
            </w:pPr>
            <w:r w:rsidRPr="000B676B">
              <w:rPr>
                <w:b/>
                <w:bCs/>
                <w:sz w:val="20"/>
                <w:szCs w:val="20"/>
                <w:lang w:val="lv-LV" w:eastAsia="ar-SA"/>
              </w:rPr>
              <w:t>Punktu skaits 16.2.1.p. kritērijā</w:t>
            </w:r>
          </w:p>
          <w:p w14:paraId="4D297460" w14:textId="77777777" w:rsidR="000B676B" w:rsidRPr="000B676B" w:rsidRDefault="000B676B" w:rsidP="003A2A5E">
            <w:pPr>
              <w:jc w:val="both"/>
              <w:rPr>
                <w:b/>
                <w:bCs/>
                <w:sz w:val="20"/>
                <w:szCs w:val="20"/>
                <w:lang w:val="lv-LV" w:eastAsia="ar-SA"/>
              </w:rPr>
            </w:pPr>
            <w:r w:rsidRPr="000B676B">
              <w:rPr>
                <w:b/>
                <w:bCs/>
                <w:sz w:val="20"/>
                <w:szCs w:val="20"/>
                <w:lang w:val="lv-LV" w:eastAsia="ar-SA"/>
              </w:rPr>
              <w:t>Cena (C), max. 50</w:t>
            </w:r>
          </w:p>
        </w:tc>
        <w:tc>
          <w:tcPr>
            <w:tcW w:w="737" w:type="pct"/>
          </w:tcPr>
          <w:p w14:paraId="4A626B34" w14:textId="77777777" w:rsidR="000B676B" w:rsidRPr="000B676B" w:rsidRDefault="000B676B" w:rsidP="003A2A5E">
            <w:pPr>
              <w:jc w:val="both"/>
              <w:rPr>
                <w:b/>
                <w:bCs/>
                <w:sz w:val="20"/>
                <w:szCs w:val="20"/>
                <w:lang w:val="lv-LV" w:eastAsia="ar-SA"/>
              </w:rPr>
            </w:pPr>
            <w:r w:rsidRPr="000B676B">
              <w:rPr>
                <w:b/>
                <w:bCs/>
                <w:sz w:val="20"/>
                <w:szCs w:val="20"/>
                <w:lang w:val="lv-LV" w:eastAsia="ar-SA"/>
              </w:rPr>
              <w:t>Pasūtījuma izpildes/Preču piegādes laiks no iepirkuma līguma noslēgšanas brīža līdz preču piegādei un uzstādīšanai, kalendārās dienas</w:t>
            </w:r>
          </w:p>
        </w:tc>
        <w:tc>
          <w:tcPr>
            <w:tcW w:w="714" w:type="pct"/>
          </w:tcPr>
          <w:p w14:paraId="3CB78C0C" w14:textId="77777777" w:rsidR="000B676B" w:rsidRPr="000B676B" w:rsidRDefault="000B676B" w:rsidP="003A2A5E">
            <w:pPr>
              <w:jc w:val="both"/>
              <w:rPr>
                <w:b/>
                <w:bCs/>
                <w:sz w:val="20"/>
                <w:szCs w:val="20"/>
                <w:lang w:val="lv-LV" w:eastAsia="ar-SA"/>
              </w:rPr>
            </w:pPr>
            <w:r w:rsidRPr="000B676B">
              <w:rPr>
                <w:b/>
                <w:bCs/>
                <w:sz w:val="20"/>
                <w:szCs w:val="20"/>
                <w:lang w:val="lv-LV" w:eastAsia="ar-SA"/>
              </w:rPr>
              <w:t>Punktu skaits 16.2.2.p. kritērijā</w:t>
            </w:r>
          </w:p>
          <w:p w14:paraId="68848040" w14:textId="77777777" w:rsidR="000B676B" w:rsidRPr="000B676B" w:rsidRDefault="000B676B" w:rsidP="003A2A5E">
            <w:pPr>
              <w:jc w:val="both"/>
              <w:rPr>
                <w:b/>
                <w:bCs/>
                <w:sz w:val="20"/>
                <w:szCs w:val="20"/>
                <w:lang w:val="lv-LV" w:eastAsia="ar-SA"/>
              </w:rPr>
            </w:pPr>
            <w:r w:rsidRPr="000B676B">
              <w:rPr>
                <w:b/>
                <w:bCs/>
                <w:sz w:val="20"/>
                <w:szCs w:val="20"/>
                <w:lang w:val="lv-LV" w:eastAsia="ar-SA"/>
              </w:rPr>
              <w:t>Līguma izpildes termiņš (T), max 40</w:t>
            </w:r>
          </w:p>
        </w:tc>
        <w:tc>
          <w:tcPr>
            <w:tcW w:w="643" w:type="pct"/>
          </w:tcPr>
          <w:p w14:paraId="3E38F390" w14:textId="77777777" w:rsidR="000B676B" w:rsidRPr="000B676B" w:rsidRDefault="000B676B" w:rsidP="003A2A5E">
            <w:pPr>
              <w:jc w:val="both"/>
              <w:rPr>
                <w:b/>
                <w:bCs/>
                <w:sz w:val="20"/>
                <w:szCs w:val="20"/>
                <w:lang w:val="lv-LV" w:eastAsia="ar-SA"/>
              </w:rPr>
            </w:pPr>
            <w:r w:rsidRPr="000B676B">
              <w:rPr>
                <w:b/>
                <w:bCs/>
                <w:sz w:val="20"/>
                <w:szCs w:val="20"/>
                <w:lang w:val="lv-LV" w:eastAsia="ar-SA"/>
              </w:rPr>
              <w:t>Preces/pakalpojumu garantijas termiņš, mēneši</w:t>
            </w:r>
          </w:p>
        </w:tc>
        <w:tc>
          <w:tcPr>
            <w:tcW w:w="699" w:type="pct"/>
          </w:tcPr>
          <w:p w14:paraId="29E4ACC3" w14:textId="77777777" w:rsidR="000B676B" w:rsidRPr="000B676B" w:rsidRDefault="000B676B" w:rsidP="003A2A5E">
            <w:pPr>
              <w:jc w:val="both"/>
              <w:rPr>
                <w:b/>
                <w:bCs/>
                <w:sz w:val="20"/>
                <w:szCs w:val="20"/>
                <w:lang w:val="lv-LV" w:eastAsia="ar-SA"/>
              </w:rPr>
            </w:pPr>
            <w:r w:rsidRPr="000B676B">
              <w:rPr>
                <w:b/>
                <w:bCs/>
                <w:sz w:val="20"/>
                <w:szCs w:val="20"/>
                <w:lang w:val="lv-LV" w:eastAsia="ar-SA"/>
              </w:rPr>
              <w:t>Punktu skaits 16.2.3.p. kritērijā</w:t>
            </w:r>
          </w:p>
          <w:p w14:paraId="44C47953" w14:textId="77777777" w:rsidR="000B676B" w:rsidRPr="000B676B" w:rsidRDefault="000B676B" w:rsidP="003A2A5E">
            <w:pPr>
              <w:jc w:val="both"/>
              <w:rPr>
                <w:b/>
                <w:bCs/>
                <w:sz w:val="20"/>
                <w:szCs w:val="20"/>
                <w:lang w:val="lv-LV" w:eastAsia="ar-SA"/>
              </w:rPr>
            </w:pPr>
            <w:r w:rsidRPr="000B676B">
              <w:rPr>
                <w:b/>
                <w:bCs/>
                <w:sz w:val="20"/>
                <w:szCs w:val="20"/>
                <w:lang w:val="lv-LV" w:eastAsia="ar-SA"/>
              </w:rPr>
              <w:t>Garantijas termiņš (G), max 10</w:t>
            </w:r>
          </w:p>
          <w:p w14:paraId="406F3FBE" w14:textId="77777777" w:rsidR="000B676B" w:rsidRPr="000B676B" w:rsidRDefault="000B676B" w:rsidP="003A2A5E">
            <w:pPr>
              <w:jc w:val="both"/>
              <w:rPr>
                <w:b/>
                <w:bCs/>
                <w:sz w:val="20"/>
                <w:szCs w:val="20"/>
                <w:lang w:val="lv-LV" w:eastAsia="ar-SA"/>
              </w:rPr>
            </w:pPr>
          </w:p>
        </w:tc>
        <w:tc>
          <w:tcPr>
            <w:tcW w:w="442" w:type="pct"/>
          </w:tcPr>
          <w:p w14:paraId="06ED26A8" w14:textId="77777777" w:rsidR="000B676B" w:rsidRPr="000B676B" w:rsidRDefault="000B676B" w:rsidP="003A2A5E">
            <w:pPr>
              <w:jc w:val="both"/>
              <w:rPr>
                <w:b/>
                <w:bCs/>
                <w:sz w:val="20"/>
                <w:szCs w:val="20"/>
                <w:lang w:val="lv-LV" w:eastAsia="ar-SA"/>
              </w:rPr>
            </w:pPr>
            <w:r w:rsidRPr="000B676B">
              <w:rPr>
                <w:b/>
                <w:bCs/>
                <w:sz w:val="20"/>
                <w:szCs w:val="20"/>
                <w:lang w:val="lv-LV" w:eastAsia="ar-SA"/>
              </w:rPr>
              <w:t>Punktu skaits</w:t>
            </w:r>
          </w:p>
        </w:tc>
      </w:tr>
      <w:tr w:rsidR="000B676B" w:rsidRPr="000B676B" w14:paraId="03C26483" w14:textId="77777777" w:rsidTr="003A2A5E">
        <w:tc>
          <w:tcPr>
            <w:tcW w:w="784" w:type="pct"/>
          </w:tcPr>
          <w:p w14:paraId="75E50896" w14:textId="77777777" w:rsidR="000B676B" w:rsidRPr="000B676B" w:rsidRDefault="000B676B" w:rsidP="003A2A5E">
            <w:pPr>
              <w:jc w:val="both"/>
              <w:rPr>
                <w:b/>
                <w:bCs/>
                <w:lang w:val="lv-LV" w:eastAsia="ar-SA"/>
              </w:rPr>
            </w:pPr>
            <w:r w:rsidRPr="000B676B">
              <w:rPr>
                <w:b/>
                <w:bCs/>
                <w:lang w:val="lv-LV" w:eastAsia="ar-SA"/>
              </w:rPr>
              <w:t>Kreyd Masterhouse SIA</w:t>
            </w:r>
          </w:p>
        </w:tc>
        <w:tc>
          <w:tcPr>
            <w:tcW w:w="503" w:type="pct"/>
            <w:vAlign w:val="center"/>
          </w:tcPr>
          <w:p w14:paraId="6E8757C1" w14:textId="77777777" w:rsidR="000B676B" w:rsidRPr="000B676B" w:rsidRDefault="000B676B" w:rsidP="003A2A5E">
            <w:pPr>
              <w:jc w:val="both"/>
              <w:rPr>
                <w:lang w:val="lv-LV" w:eastAsia="ar-SA"/>
              </w:rPr>
            </w:pPr>
            <w:r w:rsidRPr="000B676B">
              <w:rPr>
                <w:color w:val="000000"/>
                <w:lang w:val="lv-LV"/>
              </w:rPr>
              <w:t>75000</w:t>
            </w:r>
          </w:p>
        </w:tc>
        <w:tc>
          <w:tcPr>
            <w:tcW w:w="477" w:type="pct"/>
            <w:vAlign w:val="center"/>
          </w:tcPr>
          <w:p w14:paraId="593E6B4B" w14:textId="77777777" w:rsidR="000B676B" w:rsidRPr="000B676B" w:rsidRDefault="000B676B" w:rsidP="003A2A5E">
            <w:pPr>
              <w:jc w:val="both"/>
              <w:rPr>
                <w:b/>
                <w:bCs/>
                <w:lang w:val="lv-LV" w:eastAsia="ar-SA"/>
              </w:rPr>
            </w:pPr>
            <w:r w:rsidRPr="000B676B">
              <w:rPr>
                <w:b/>
                <w:bCs/>
                <w:color w:val="000000"/>
                <w:lang w:val="lv-LV" w:eastAsia="ar-SA"/>
              </w:rPr>
              <w:t>48.41</w:t>
            </w:r>
          </w:p>
        </w:tc>
        <w:tc>
          <w:tcPr>
            <w:tcW w:w="737" w:type="pct"/>
            <w:vAlign w:val="center"/>
          </w:tcPr>
          <w:p w14:paraId="4AA6F08A" w14:textId="77777777" w:rsidR="000B676B" w:rsidRPr="000B676B" w:rsidRDefault="000B676B" w:rsidP="003A2A5E">
            <w:pPr>
              <w:jc w:val="both"/>
              <w:rPr>
                <w:lang w:val="lv-LV" w:eastAsia="ar-SA"/>
              </w:rPr>
            </w:pPr>
            <w:r w:rsidRPr="000B676B">
              <w:rPr>
                <w:color w:val="000000"/>
                <w:lang w:val="lv-LV" w:eastAsia="ar-SA"/>
              </w:rPr>
              <w:t>45</w:t>
            </w:r>
          </w:p>
        </w:tc>
        <w:tc>
          <w:tcPr>
            <w:tcW w:w="714" w:type="pct"/>
            <w:vAlign w:val="center"/>
          </w:tcPr>
          <w:p w14:paraId="0166C53D" w14:textId="77777777" w:rsidR="000B676B" w:rsidRPr="000B676B" w:rsidRDefault="000B676B" w:rsidP="003A2A5E">
            <w:pPr>
              <w:jc w:val="both"/>
              <w:rPr>
                <w:b/>
                <w:bCs/>
                <w:lang w:val="lv-LV" w:eastAsia="ar-SA"/>
              </w:rPr>
            </w:pPr>
            <w:r w:rsidRPr="000B676B">
              <w:rPr>
                <w:b/>
                <w:bCs/>
                <w:color w:val="000000"/>
                <w:lang w:val="lv-LV" w:eastAsia="ar-SA"/>
              </w:rPr>
              <w:t>37.33</w:t>
            </w:r>
          </w:p>
        </w:tc>
        <w:tc>
          <w:tcPr>
            <w:tcW w:w="643" w:type="pct"/>
            <w:vAlign w:val="center"/>
          </w:tcPr>
          <w:p w14:paraId="5EA9663D" w14:textId="77777777" w:rsidR="000B676B" w:rsidRPr="000B676B" w:rsidRDefault="000B676B" w:rsidP="003A2A5E">
            <w:pPr>
              <w:jc w:val="both"/>
              <w:rPr>
                <w:lang w:val="lv-LV" w:eastAsia="ar-SA"/>
              </w:rPr>
            </w:pPr>
            <w:r w:rsidRPr="000B676B">
              <w:rPr>
                <w:color w:val="000000"/>
                <w:lang w:val="lv-LV" w:eastAsia="ar-SA"/>
              </w:rPr>
              <w:t>60</w:t>
            </w:r>
          </w:p>
        </w:tc>
        <w:tc>
          <w:tcPr>
            <w:tcW w:w="699" w:type="pct"/>
            <w:vAlign w:val="center"/>
          </w:tcPr>
          <w:p w14:paraId="23C40B07" w14:textId="77777777" w:rsidR="000B676B" w:rsidRPr="000B676B" w:rsidRDefault="000B676B" w:rsidP="003A2A5E">
            <w:pPr>
              <w:jc w:val="both"/>
              <w:rPr>
                <w:b/>
                <w:bCs/>
                <w:lang w:val="lv-LV" w:eastAsia="ar-SA"/>
              </w:rPr>
            </w:pPr>
            <w:r w:rsidRPr="000B676B">
              <w:rPr>
                <w:b/>
                <w:bCs/>
                <w:color w:val="000000"/>
                <w:lang w:val="lv-LV" w:eastAsia="ar-SA"/>
              </w:rPr>
              <w:t>10</w:t>
            </w:r>
          </w:p>
        </w:tc>
        <w:tc>
          <w:tcPr>
            <w:tcW w:w="442" w:type="pct"/>
            <w:vAlign w:val="center"/>
          </w:tcPr>
          <w:p w14:paraId="32E7DAD1" w14:textId="77777777" w:rsidR="000B676B" w:rsidRPr="000B676B" w:rsidRDefault="000B676B" w:rsidP="003A2A5E">
            <w:pPr>
              <w:jc w:val="both"/>
              <w:rPr>
                <w:b/>
                <w:bCs/>
                <w:lang w:val="lv-LV" w:eastAsia="ar-SA"/>
              </w:rPr>
            </w:pPr>
            <w:r w:rsidRPr="000B676B">
              <w:rPr>
                <w:b/>
                <w:bCs/>
                <w:color w:val="000000"/>
                <w:lang w:val="lv-LV" w:eastAsia="ar-SA"/>
              </w:rPr>
              <w:t>95.74</w:t>
            </w:r>
          </w:p>
        </w:tc>
      </w:tr>
      <w:tr w:rsidR="000B676B" w:rsidRPr="000B676B" w14:paraId="0564602B" w14:textId="77777777" w:rsidTr="003A2A5E">
        <w:tc>
          <w:tcPr>
            <w:tcW w:w="784" w:type="pct"/>
          </w:tcPr>
          <w:p w14:paraId="5396AE3C" w14:textId="77777777" w:rsidR="000B676B" w:rsidRPr="000B676B" w:rsidRDefault="000B676B" w:rsidP="003A2A5E">
            <w:pPr>
              <w:jc w:val="both"/>
              <w:rPr>
                <w:b/>
                <w:bCs/>
                <w:lang w:val="lv-LV" w:eastAsia="ar-SA"/>
              </w:rPr>
            </w:pPr>
            <w:r w:rsidRPr="000B676B">
              <w:rPr>
                <w:b/>
                <w:bCs/>
                <w:lang w:val="lv-LV" w:eastAsia="ar-SA"/>
              </w:rPr>
              <w:t>"Lucidus" SIA</w:t>
            </w:r>
          </w:p>
        </w:tc>
        <w:tc>
          <w:tcPr>
            <w:tcW w:w="503" w:type="pct"/>
            <w:vAlign w:val="center"/>
          </w:tcPr>
          <w:p w14:paraId="56A719EC" w14:textId="77777777" w:rsidR="000B676B" w:rsidRPr="000B676B" w:rsidRDefault="000B676B" w:rsidP="003A2A5E">
            <w:pPr>
              <w:jc w:val="both"/>
              <w:rPr>
                <w:lang w:val="lv-LV" w:eastAsia="ar-SA"/>
              </w:rPr>
            </w:pPr>
            <w:r w:rsidRPr="000B676B">
              <w:rPr>
                <w:color w:val="000000"/>
                <w:lang w:val="lv-LV"/>
              </w:rPr>
              <w:t>72618</w:t>
            </w:r>
          </w:p>
        </w:tc>
        <w:tc>
          <w:tcPr>
            <w:tcW w:w="477" w:type="pct"/>
            <w:vAlign w:val="center"/>
          </w:tcPr>
          <w:p w14:paraId="639A62AD" w14:textId="77777777" w:rsidR="000B676B" w:rsidRPr="000B676B" w:rsidRDefault="000B676B" w:rsidP="003A2A5E">
            <w:pPr>
              <w:jc w:val="both"/>
              <w:rPr>
                <w:b/>
                <w:bCs/>
                <w:lang w:val="lv-LV" w:eastAsia="ar-SA"/>
              </w:rPr>
            </w:pPr>
            <w:r w:rsidRPr="000B676B">
              <w:rPr>
                <w:b/>
                <w:bCs/>
                <w:color w:val="000000"/>
                <w:lang w:val="lv-LV" w:eastAsia="ar-SA"/>
              </w:rPr>
              <w:t>50.00</w:t>
            </w:r>
          </w:p>
        </w:tc>
        <w:tc>
          <w:tcPr>
            <w:tcW w:w="737" w:type="pct"/>
            <w:vAlign w:val="center"/>
          </w:tcPr>
          <w:p w14:paraId="34C86EED" w14:textId="77777777" w:rsidR="000B676B" w:rsidRPr="000B676B" w:rsidRDefault="000B676B" w:rsidP="003A2A5E">
            <w:pPr>
              <w:jc w:val="both"/>
              <w:rPr>
                <w:lang w:val="lv-LV" w:eastAsia="ar-SA"/>
              </w:rPr>
            </w:pPr>
            <w:r w:rsidRPr="000B676B">
              <w:rPr>
                <w:color w:val="000000"/>
                <w:lang w:val="lv-LV" w:eastAsia="ar-SA"/>
              </w:rPr>
              <w:t>42</w:t>
            </w:r>
          </w:p>
        </w:tc>
        <w:tc>
          <w:tcPr>
            <w:tcW w:w="714" w:type="pct"/>
            <w:vAlign w:val="center"/>
          </w:tcPr>
          <w:p w14:paraId="0854390B" w14:textId="77777777" w:rsidR="000B676B" w:rsidRPr="000B676B" w:rsidRDefault="000B676B" w:rsidP="003A2A5E">
            <w:pPr>
              <w:jc w:val="both"/>
              <w:rPr>
                <w:b/>
                <w:bCs/>
                <w:lang w:val="lv-LV" w:eastAsia="ar-SA"/>
              </w:rPr>
            </w:pPr>
            <w:r w:rsidRPr="000B676B">
              <w:rPr>
                <w:b/>
                <w:bCs/>
                <w:color w:val="000000"/>
                <w:lang w:val="lv-LV" w:eastAsia="ar-SA"/>
              </w:rPr>
              <w:t>40.00</w:t>
            </w:r>
          </w:p>
        </w:tc>
        <w:tc>
          <w:tcPr>
            <w:tcW w:w="643" w:type="pct"/>
            <w:vAlign w:val="center"/>
          </w:tcPr>
          <w:p w14:paraId="221CFE4A" w14:textId="77777777" w:rsidR="000B676B" w:rsidRPr="000B676B" w:rsidRDefault="000B676B" w:rsidP="003A2A5E">
            <w:pPr>
              <w:jc w:val="both"/>
              <w:rPr>
                <w:lang w:val="lv-LV" w:eastAsia="ar-SA"/>
              </w:rPr>
            </w:pPr>
            <w:r w:rsidRPr="000B676B">
              <w:rPr>
                <w:color w:val="000000"/>
                <w:lang w:val="lv-LV" w:eastAsia="ar-SA"/>
              </w:rPr>
              <w:t>60</w:t>
            </w:r>
          </w:p>
        </w:tc>
        <w:tc>
          <w:tcPr>
            <w:tcW w:w="699" w:type="pct"/>
            <w:vAlign w:val="center"/>
          </w:tcPr>
          <w:p w14:paraId="4D542590" w14:textId="77777777" w:rsidR="000B676B" w:rsidRPr="000B676B" w:rsidRDefault="000B676B" w:rsidP="003A2A5E">
            <w:pPr>
              <w:jc w:val="both"/>
              <w:rPr>
                <w:b/>
                <w:bCs/>
                <w:lang w:val="lv-LV" w:eastAsia="ar-SA"/>
              </w:rPr>
            </w:pPr>
            <w:r w:rsidRPr="000B676B">
              <w:rPr>
                <w:b/>
                <w:bCs/>
                <w:color w:val="000000"/>
                <w:lang w:val="lv-LV" w:eastAsia="ar-SA"/>
              </w:rPr>
              <w:t>10</w:t>
            </w:r>
          </w:p>
        </w:tc>
        <w:tc>
          <w:tcPr>
            <w:tcW w:w="442" w:type="pct"/>
            <w:vAlign w:val="center"/>
          </w:tcPr>
          <w:p w14:paraId="3031E67F" w14:textId="77777777" w:rsidR="000B676B" w:rsidRPr="000B676B" w:rsidRDefault="000B676B" w:rsidP="003A2A5E">
            <w:pPr>
              <w:jc w:val="both"/>
              <w:rPr>
                <w:b/>
                <w:bCs/>
                <w:lang w:val="lv-LV" w:eastAsia="ar-SA"/>
              </w:rPr>
            </w:pPr>
            <w:r w:rsidRPr="000B676B">
              <w:rPr>
                <w:b/>
                <w:bCs/>
                <w:color w:val="000000"/>
                <w:lang w:val="lv-LV" w:eastAsia="ar-SA"/>
              </w:rPr>
              <w:t>100.00</w:t>
            </w:r>
          </w:p>
        </w:tc>
      </w:tr>
    </w:tbl>
    <w:p w14:paraId="76CA16C7" w14:textId="1737668F" w:rsidR="000B676B" w:rsidRPr="000B676B" w:rsidRDefault="000B676B" w:rsidP="000B676B">
      <w:pPr>
        <w:jc w:val="both"/>
        <w:rPr>
          <w:lang w:val="lv-LV" w:eastAsia="ar-SA"/>
        </w:rPr>
      </w:pPr>
      <w:r w:rsidRPr="000B676B">
        <w:rPr>
          <w:lang w:val="lv-LV" w:eastAsia="ar-SA"/>
        </w:rPr>
        <w:t>Saskaņā ar Nolikuma 16.punktu par saimnieciski visizdevīgāko piedāvājumu Komisija atz</w:t>
      </w:r>
      <w:r>
        <w:rPr>
          <w:lang w:val="lv-LV" w:eastAsia="ar-SA"/>
        </w:rPr>
        <w:t>ina</w:t>
      </w:r>
      <w:r w:rsidRPr="000B676B">
        <w:rPr>
          <w:lang w:val="lv-LV" w:eastAsia="ar-SA"/>
        </w:rPr>
        <w:t xml:space="preserve"> "Lucidus" SIA piedāvājumu, kurš ieguva visaugstāko vērtējumu. </w:t>
      </w:r>
    </w:p>
    <w:p w14:paraId="6636E12F" w14:textId="77777777" w:rsidR="000B676B" w:rsidRPr="000B676B" w:rsidRDefault="000B676B" w:rsidP="00A56E70">
      <w:pPr>
        <w:pStyle w:val="Sarakstarindkopa"/>
        <w:ind w:left="0"/>
        <w:jc w:val="both"/>
        <w:rPr>
          <w:lang w:val="lv-LV"/>
        </w:rPr>
      </w:pPr>
    </w:p>
    <w:tbl>
      <w:tblPr>
        <w:tblStyle w:val="Reatabula"/>
        <w:tblW w:w="0" w:type="auto"/>
        <w:tblLook w:val="04A0" w:firstRow="1" w:lastRow="0" w:firstColumn="1" w:lastColumn="0" w:noHBand="0" w:noVBand="1"/>
      </w:tblPr>
      <w:tblGrid>
        <w:gridCol w:w="3936"/>
        <w:gridCol w:w="5351"/>
      </w:tblGrid>
      <w:tr w:rsidR="00A56E70" w:rsidRPr="000B676B" w14:paraId="56999AB9" w14:textId="77777777" w:rsidTr="00A56E70">
        <w:tc>
          <w:tcPr>
            <w:tcW w:w="3936" w:type="dxa"/>
          </w:tcPr>
          <w:p w14:paraId="202B0AD4" w14:textId="77777777" w:rsidR="00A56E70" w:rsidRPr="000B676B" w:rsidRDefault="00A56E70" w:rsidP="00A56E70">
            <w:pPr>
              <w:jc w:val="both"/>
              <w:rPr>
                <w:lang w:val="lv-LV"/>
              </w:rPr>
            </w:pPr>
            <w:r w:rsidRPr="000B676B">
              <w:rPr>
                <w:lang w:val="lv-LV"/>
              </w:rPr>
              <w:t>Informācija (ja tā ir zināma) par to iepirkuma līguma daļu, kuru izraudzītais pretendents plānojis nodot apakšuzņēmējiem, kā arī apakšuzņēmēju nosaukumi;</w:t>
            </w:r>
          </w:p>
          <w:p w14:paraId="2E4B2B94" w14:textId="77777777" w:rsidR="00A56E70" w:rsidRPr="000B676B" w:rsidRDefault="00A56E70" w:rsidP="002D1C50">
            <w:pPr>
              <w:jc w:val="both"/>
              <w:rPr>
                <w:lang w:val="lv-LV"/>
              </w:rPr>
            </w:pPr>
          </w:p>
        </w:tc>
        <w:tc>
          <w:tcPr>
            <w:tcW w:w="5351" w:type="dxa"/>
          </w:tcPr>
          <w:p w14:paraId="14D39EF7" w14:textId="77777777" w:rsidR="00A56E70" w:rsidRPr="000B676B" w:rsidRDefault="00A56E70" w:rsidP="00A56E70">
            <w:pPr>
              <w:jc w:val="both"/>
              <w:rPr>
                <w:lang w:val="lv-LV"/>
              </w:rPr>
            </w:pPr>
            <w:r w:rsidRPr="000B676B">
              <w:rPr>
                <w:lang w:val="lv-LV"/>
              </w:rPr>
              <w:lastRenderedPageBreak/>
              <w:t>Nav zināma</w:t>
            </w:r>
          </w:p>
          <w:p w14:paraId="1586272D" w14:textId="77777777" w:rsidR="00A56E70" w:rsidRPr="000B676B" w:rsidRDefault="00A56E70" w:rsidP="002D1C50">
            <w:pPr>
              <w:jc w:val="both"/>
              <w:rPr>
                <w:lang w:val="lv-LV"/>
              </w:rPr>
            </w:pPr>
          </w:p>
        </w:tc>
      </w:tr>
      <w:tr w:rsidR="00A56E70" w:rsidRPr="000B676B" w14:paraId="53425E0B" w14:textId="77777777" w:rsidTr="00A56E70">
        <w:tc>
          <w:tcPr>
            <w:tcW w:w="3936" w:type="dxa"/>
          </w:tcPr>
          <w:p w14:paraId="5DD19FF2" w14:textId="77777777" w:rsidR="00A56E70" w:rsidRPr="000B676B" w:rsidRDefault="00A56E70" w:rsidP="00A56E70">
            <w:pPr>
              <w:jc w:val="both"/>
              <w:rPr>
                <w:lang w:val="lv-LV"/>
              </w:rPr>
            </w:pPr>
            <w:r w:rsidRPr="000B676B">
              <w:rPr>
                <w:lang w:val="lv-LV"/>
              </w:rPr>
              <w:t>Pamatojums lēmumam par katru noraidīto pretendentu, kā arī par katru iepirkuma procedūras dokumentiem neatbilstošu piedāvājumu</w:t>
            </w:r>
          </w:p>
        </w:tc>
        <w:tc>
          <w:tcPr>
            <w:tcW w:w="5351" w:type="dxa"/>
          </w:tcPr>
          <w:p w14:paraId="4DF1E09A" w14:textId="77777777" w:rsidR="00A56E70" w:rsidRPr="000B676B" w:rsidRDefault="00A56E70" w:rsidP="00A56E70">
            <w:pPr>
              <w:jc w:val="both"/>
              <w:rPr>
                <w:lang w:val="lv-LV"/>
              </w:rPr>
            </w:pPr>
            <w:r w:rsidRPr="000B676B">
              <w:rPr>
                <w:lang w:val="lv-LV"/>
              </w:rPr>
              <w:t>Nav noraidīto pretendentu</w:t>
            </w:r>
          </w:p>
        </w:tc>
      </w:tr>
      <w:tr w:rsidR="00A56E70" w:rsidRPr="000B676B" w14:paraId="1798C487" w14:textId="77777777" w:rsidTr="00A56E70">
        <w:tc>
          <w:tcPr>
            <w:tcW w:w="3936" w:type="dxa"/>
          </w:tcPr>
          <w:p w14:paraId="341EADA1" w14:textId="77777777" w:rsidR="00A56E70" w:rsidRPr="000B676B" w:rsidRDefault="00A56E70" w:rsidP="00A56E70">
            <w:pPr>
              <w:jc w:val="both"/>
              <w:rPr>
                <w:lang w:val="lv-LV"/>
              </w:rPr>
            </w:pPr>
            <w:r w:rsidRPr="000B676B">
              <w:rPr>
                <w:lang w:val="lv-LV"/>
              </w:rPr>
              <w:t>Ja piedāvājumu iesniedzis tikai viens piegādātājs, – pamatojums iepirkuma procedūras nepārtraukšanai saskaņā ar šo noteikumu 19. punktu.</w:t>
            </w:r>
          </w:p>
        </w:tc>
        <w:tc>
          <w:tcPr>
            <w:tcW w:w="5351" w:type="dxa"/>
          </w:tcPr>
          <w:p w14:paraId="17F7C6F8" w14:textId="77777777" w:rsidR="00A56E70" w:rsidRPr="000B676B" w:rsidRDefault="00A56E70" w:rsidP="00A56E70">
            <w:pPr>
              <w:jc w:val="both"/>
              <w:rPr>
                <w:lang w:val="lv-LV"/>
              </w:rPr>
            </w:pPr>
            <w:r w:rsidRPr="000B676B">
              <w:rPr>
                <w:lang w:val="lv-LV"/>
              </w:rPr>
              <w:t>Nav attiecināms</w:t>
            </w:r>
          </w:p>
        </w:tc>
      </w:tr>
      <w:tr w:rsidR="00A56E70" w:rsidRPr="000B676B" w14:paraId="1683D265" w14:textId="77777777" w:rsidTr="00A56E70">
        <w:tc>
          <w:tcPr>
            <w:tcW w:w="3936" w:type="dxa"/>
          </w:tcPr>
          <w:p w14:paraId="5AB83DDE" w14:textId="77777777" w:rsidR="00A56E70" w:rsidRPr="000B676B" w:rsidRDefault="00A56E70" w:rsidP="00A56E70">
            <w:pPr>
              <w:jc w:val="both"/>
              <w:rPr>
                <w:lang w:val="lv-LV"/>
              </w:rPr>
            </w:pPr>
            <w:r w:rsidRPr="000B676B">
              <w:rPr>
                <w:lang w:val="lv-LV"/>
              </w:rPr>
              <w:t>Lēmuma pamatojums, ja iepirkuma komisija pieņēmusi lēmumu pārtraukt vai izbeigt iepirkuma procedūru</w:t>
            </w:r>
          </w:p>
        </w:tc>
        <w:tc>
          <w:tcPr>
            <w:tcW w:w="5351" w:type="dxa"/>
          </w:tcPr>
          <w:p w14:paraId="692A4AC8" w14:textId="77777777" w:rsidR="00A56E70" w:rsidRPr="000B676B" w:rsidRDefault="00A56E70" w:rsidP="00A56E70">
            <w:pPr>
              <w:jc w:val="both"/>
              <w:rPr>
                <w:lang w:val="lv-LV"/>
              </w:rPr>
            </w:pPr>
            <w:r w:rsidRPr="000B676B">
              <w:rPr>
                <w:lang w:val="lv-LV"/>
              </w:rPr>
              <w:t>Nav attiecināms</w:t>
            </w:r>
          </w:p>
        </w:tc>
      </w:tr>
      <w:tr w:rsidR="00A56E70" w:rsidRPr="000B676B" w14:paraId="0860FAFD" w14:textId="77777777" w:rsidTr="00A56E70">
        <w:tc>
          <w:tcPr>
            <w:tcW w:w="3936" w:type="dxa"/>
          </w:tcPr>
          <w:p w14:paraId="5A2B2A35" w14:textId="77777777" w:rsidR="00A56E70" w:rsidRPr="000B676B" w:rsidRDefault="00A56E70" w:rsidP="00A56E70">
            <w:pPr>
              <w:jc w:val="both"/>
              <w:rPr>
                <w:lang w:val="lv-LV"/>
              </w:rPr>
            </w:pPr>
            <w:r w:rsidRPr="000B676B">
              <w:rPr>
                <w:lang w:val="lv-LV"/>
              </w:rPr>
              <w:t>Piedāvājuma noraidīšanas pamatojums, ja iepirkuma komisija atzinusi piedāvājumu par nepamatoti lētu</w:t>
            </w:r>
          </w:p>
        </w:tc>
        <w:tc>
          <w:tcPr>
            <w:tcW w:w="5351" w:type="dxa"/>
          </w:tcPr>
          <w:p w14:paraId="44FF11F7" w14:textId="77777777" w:rsidR="00A56E70" w:rsidRPr="000B676B" w:rsidRDefault="00A56E70" w:rsidP="00A56E70">
            <w:pPr>
              <w:jc w:val="both"/>
              <w:rPr>
                <w:lang w:val="lv-LV"/>
              </w:rPr>
            </w:pPr>
            <w:r w:rsidRPr="000B676B">
              <w:rPr>
                <w:lang w:val="lv-LV"/>
              </w:rPr>
              <w:t>Nav attiecināms</w:t>
            </w:r>
          </w:p>
        </w:tc>
      </w:tr>
      <w:tr w:rsidR="00A56E70" w:rsidRPr="000B676B" w14:paraId="30A95647" w14:textId="77777777" w:rsidTr="00A56E70">
        <w:tc>
          <w:tcPr>
            <w:tcW w:w="3936" w:type="dxa"/>
          </w:tcPr>
          <w:p w14:paraId="0B896F9D" w14:textId="77777777" w:rsidR="00A56E70" w:rsidRPr="000B676B" w:rsidRDefault="00A56E70" w:rsidP="00A56E70">
            <w:pPr>
              <w:jc w:val="both"/>
              <w:rPr>
                <w:lang w:val="lv-LV"/>
              </w:rPr>
            </w:pPr>
            <w:r w:rsidRPr="000B676B">
              <w:rPr>
                <w:lang w:val="lv-LV"/>
              </w:rPr>
              <w:t>Iemesli, kuru dēļ netiek paredzēta elektroniska piedāvājumu iesniegšana, ja pasūtītājam ir pienākums izmantot piedāvājumu saņemšanai elektroniskās informācijas sistēmas</w:t>
            </w:r>
          </w:p>
        </w:tc>
        <w:tc>
          <w:tcPr>
            <w:tcW w:w="5351" w:type="dxa"/>
          </w:tcPr>
          <w:p w14:paraId="328B9A40" w14:textId="77777777" w:rsidR="00A56E70" w:rsidRPr="000B676B" w:rsidRDefault="00A56E70" w:rsidP="00A56E70">
            <w:pPr>
              <w:jc w:val="both"/>
              <w:rPr>
                <w:lang w:val="lv-LV"/>
              </w:rPr>
            </w:pPr>
            <w:r w:rsidRPr="000B676B">
              <w:rPr>
                <w:lang w:val="lv-LV"/>
              </w:rPr>
              <w:t>Nav attiecināms</w:t>
            </w:r>
          </w:p>
        </w:tc>
      </w:tr>
      <w:tr w:rsidR="00A56E70" w:rsidRPr="00794796" w14:paraId="2A72591F" w14:textId="77777777" w:rsidTr="00A56E70">
        <w:tc>
          <w:tcPr>
            <w:tcW w:w="3936" w:type="dxa"/>
          </w:tcPr>
          <w:p w14:paraId="6B5FB124" w14:textId="77777777" w:rsidR="00A56E70" w:rsidRPr="000B676B" w:rsidRDefault="00A56E70" w:rsidP="00A56E70">
            <w:pPr>
              <w:jc w:val="both"/>
              <w:rPr>
                <w:lang w:val="lv-LV"/>
              </w:rPr>
            </w:pPr>
            <w:r w:rsidRPr="000B676B">
              <w:rPr>
                <w:lang w:val="lv-LV"/>
              </w:rPr>
              <w:t>Konstatētie interešu konflikti un pasākumi, kas veikti to novēršanai</w:t>
            </w:r>
          </w:p>
        </w:tc>
        <w:tc>
          <w:tcPr>
            <w:tcW w:w="5351" w:type="dxa"/>
          </w:tcPr>
          <w:p w14:paraId="511B99A1" w14:textId="77777777" w:rsidR="00A56E70" w:rsidRPr="000B676B" w:rsidRDefault="00A56E70" w:rsidP="00A56E70">
            <w:pPr>
              <w:pStyle w:val="tv213"/>
              <w:spacing w:before="0" w:beforeAutospacing="0" w:after="0" w:afterAutospacing="0"/>
              <w:jc w:val="both"/>
              <w:rPr>
                <w:color w:val="000000" w:themeColor="text1"/>
              </w:rPr>
            </w:pPr>
            <w:r w:rsidRPr="000B676B">
              <w:rPr>
                <w:color w:val="000000" w:themeColor="text1"/>
              </w:rPr>
              <w:t>Nav konstatēti.</w:t>
            </w:r>
          </w:p>
          <w:p w14:paraId="2AE19087" w14:textId="77777777" w:rsidR="00A56E70" w:rsidRPr="000B676B" w:rsidRDefault="00A56E70" w:rsidP="00A56E70">
            <w:pPr>
              <w:jc w:val="both"/>
              <w:rPr>
                <w:lang w:val="lv-LV"/>
              </w:rPr>
            </w:pPr>
            <w:r w:rsidRPr="000B676B">
              <w:rPr>
                <w:color w:val="000000" w:themeColor="text1"/>
                <w:lang w:val="lv-LV"/>
              </w:rPr>
              <w:t>Veiktas Publisko iepirkumu likuma III nodaļā paredzētās procedūras</w:t>
            </w:r>
          </w:p>
        </w:tc>
      </w:tr>
    </w:tbl>
    <w:p w14:paraId="7FD1B813" w14:textId="77777777" w:rsidR="007D4EAB" w:rsidRPr="000B676B" w:rsidRDefault="007D4EAB" w:rsidP="00FD3A54">
      <w:pPr>
        <w:jc w:val="both"/>
        <w:rPr>
          <w:lang w:val="lv-LV" w:eastAsia="ar-SA"/>
        </w:rPr>
      </w:pPr>
    </w:p>
    <w:p w14:paraId="2B8FAB7D" w14:textId="77777777" w:rsidR="007D4EAB" w:rsidRPr="000B676B" w:rsidRDefault="007D4EAB" w:rsidP="007D4EAB">
      <w:pPr>
        <w:ind w:firstLine="709"/>
        <w:jc w:val="both"/>
        <w:rPr>
          <w:rFonts w:eastAsia="Calibri"/>
          <w:lang w:val="lv-LV"/>
        </w:rPr>
      </w:pPr>
    </w:p>
    <w:p w14:paraId="41B2942E" w14:textId="4EB0A5CB" w:rsidR="0043602E" w:rsidRPr="000B676B" w:rsidRDefault="000B676B">
      <w:pPr>
        <w:rPr>
          <w:lang w:val="lv-LV"/>
        </w:rPr>
      </w:pPr>
      <w:r>
        <w:rPr>
          <w:lang w:val="lv-LV"/>
        </w:rPr>
        <w:t>Komisijas priekšsēdētāja</w:t>
      </w:r>
      <w:r w:rsidR="00980031" w:rsidRPr="000B676B">
        <w:rPr>
          <w:lang w:val="lv-LV"/>
        </w:rPr>
        <w:t xml:space="preserve">                                  Kristīne Graudumniece</w:t>
      </w:r>
    </w:p>
    <w:p w14:paraId="7AEB8445" w14:textId="77777777" w:rsidR="00A56E70" w:rsidRPr="000B676B" w:rsidRDefault="00A56E70">
      <w:pPr>
        <w:rPr>
          <w:lang w:val="lv-LV"/>
        </w:rPr>
      </w:pPr>
    </w:p>
    <w:p w14:paraId="383E49EC" w14:textId="77777777" w:rsidR="00A56E70" w:rsidRPr="000B676B" w:rsidRDefault="00A56E70">
      <w:pPr>
        <w:rPr>
          <w:lang w:val="lv-LV"/>
        </w:rPr>
      </w:pPr>
      <w:r w:rsidRPr="000B676B">
        <w:rPr>
          <w:lang w:val="lv-LV"/>
        </w:rPr>
        <w:t>Graudumniece 67026892</w:t>
      </w:r>
    </w:p>
    <w:sectPr w:rsidR="00A56E70" w:rsidRPr="000B676B" w:rsidSect="0099530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B5FB0" w14:textId="77777777" w:rsidR="00D41894" w:rsidRDefault="00D41894" w:rsidP="00EC652B">
      <w:r>
        <w:separator/>
      </w:r>
    </w:p>
  </w:endnote>
  <w:endnote w:type="continuationSeparator" w:id="0">
    <w:p w14:paraId="220E3134" w14:textId="77777777" w:rsidR="00D41894" w:rsidRDefault="00D41894"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27460"/>
      <w:docPartObj>
        <w:docPartGallery w:val="Page Numbers (Bottom of Page)"/>
        <w:docPartUnique/>
      </w:docPartObj>
    </w:sdtPr>
    <w:sdtEndPr/>
    <w:sdtContent>
      <w:p w14:paraId="40DC727B"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64209D8A"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CD602" w14:textId="77777777" w:rsidR="00D41894" w:rsidRDefault="00D41894" w:rsidP="00EC652B">
      <w:r>
        <w:separator/>
      </w:r>
    </w:p>
  </w:footnote>
  <w:footnote w:type="continuationSeparator" w:id="0">
    <w:p w14:paraId="7AB70733" w14:textId="77777777" w:rsidR="00D41894" w:rsidRDefault="00D41894"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72303"/>
    <w:multiLevelType w:val="hybridMultilevel"/>
    <w:tmpl w:val="8E280B8A"/>
    <w:lvl w:ilvl="0" w:tplc="3612D4CC">
      <w:start w:val="1"/>
      <w:numFmt w:val="lowerLetter"/>
      <w:lvlText w:val="%1)"/>
      <w:lvlJc w:val="left"/>
      <w:pPr>
        <w:ind w:left="420" w:hanging="360"/>
      </w:pPr>
      <w:rPr>
        <w:rFonts w:hint="default"/>
      </w:rPr>
    </w:lvl>
    <w:lvl w:ilvl="1" w:tplc="000AFA72">
      <w:start w:val="16"/>
      <w:numFmt w:val="decimal"/>
      <w:lvlText w:val="%2"/>
      <w:lvlJc w:val="left"/>
      <w:pPr>
        <w:ind w:left="1140" w:hanging="360"/>
      </w:pPr>
      <w:rPr>
        <w:rFonts w:hint="default"/>
        <w:color w:val="000000"/>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B1B1A"/>
    <w:multiLevelType w:val="hybridMultilevel"/>
    <w:tmpl w:val="582CF0DE"/>
    <w:lvl w:ilvl="0" w:tplc="BC70BFFA">
      <w:start w:val="16"/>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0"/>
  </w:num>
  <w:num w:numId="3">
    <w:abstractNumId w:val="1"/>
  </w:num>
  <w:num w:numId="4">
    <w:abstractNumId w:val="9"/>
  </w:num>
  <w:num w:numId="5">
    <w:abstractNumId w:val="4"/>
  </w:num>
  <w:num w:numId="6">
    <w:abstractNumId w:val="3"/>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1970"/>
    <w:rsid w:val="0007139A"/>
    <w:rsid w:val="000B676B"/>
    <w:rsid w:val="00116BA7"/>
    <w:rsid w:val="00266ECF"/>
    <w:rsid w:val="00356CD5"/>
    <w:rsid w:val="00453DE3"/>
    <w:rsid w:val="004845AD"/>
    <w:rsid w:val="00576A93"/>
    <w:rsid w:val="0071585F"/>
    <w:rsid w:val="00755109"/>
    <w:rsid w:val="00790877"/>
    <w:rsid w:val="00794796"/>
    <w:rsid w:val="007D4EAB"/>
    <w:rsid w:val="008045DD"/>
    <w:rsid w:val="00980031"/>
    <w:rsid w:val="00995309"/>
    <w:rsid w:val="00A42CAE"/>
    <w:rsid w:val="00A56E70"/>
    <w:rsid w:val="00C43A1B"/>
    <w:rsid w:val="00D41894"/>
    <w:rsid w:val="00D8280E"/>
    <w:rsid w:val="00EC652B"/>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8C6"/>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table" w:customStyle="1" w:styleId="Reatabula1">
    <w:name w:val="Režģa tabula1"/>
    <w:basedOn w:val="Parastatabula"/>
    <w:next w:val="Reatabula"/>
    <w:rsid w:val="000B67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0B676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vs.iub.gov.lv/show/6687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4480</Words>
  <Characters>2554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3</cp:revision>
  <cp:lastPrinted>2020-05-19T15:06:00Z</cp:lastPrinted>
  <dcterms:created xsi:type="dcterms:W3CDTF">2021-10-06T05:17:00Z</dcterms:created>
  <dcterms:modified xsi:type="dcterms:W3CDTF">2021-10-06T05:21:00Z</dcterms:modified>
</cp:coreProperties>
</file>