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85A5" w14:textId="77777777" w:rsidR="00C56007" w:rsidRPr="00C56007" w:rsidRDefault="00C56007" w:rsidP="00C56007">
      <w:pPr>
        <w:tabs>
          <w:tab w:val="left" w:pos="0"/>
          <w:tab w:val="left" w:pos="1134"/>
        </w:tabs>
        <w:ind w:right="-514"/>
        <w:jc w:val="center"/>
        <w:rPr>
          <w:b/>
          <w:lang w:val="lv-LV"/>
        </w:rPr>
      </w:pPr>
      <w:bookmarkStart w:id="0" w:name="_Hlk513107325"/>
      <w:r w:rsidRPr="00C56007">
        <w:rPr>
          <w:b/>
          <w:lang w:val="lv-LV"/>
        </w:rPr>
        <w:t xml:space="preserve">Rīgas domes Izglītības, kultūras un sporta departamenta </w:t>
      </w:r>
    </w:p>
    <w:p w14:paraId="353C8065" w14:textId="7FAF43B5" w:rsidR="00C56007" w:rsidRPr="00C56007" w:rsidRDefault="00C56007" w:rsidP="00C56007">
      <w:pPr>
        <w:tabs>
          <w:tab w:val="left" w:pos="0"/>
          <w:tab w:val="left" w:pos="1134"/>
        </w:tabs>
        <w:ind w:right="-514"/>
        <w:jc w:val="center"/>
        <w:rPr>
          <w:b/>
          <w:lang w:val="lv-LV"/>
        </w:rPr>
      </w:pPr>
      <w:r w:rsidRPr="00C56007">
        <w:rPr>
          <w:b/>
          <w:lang w:val="lv-LV"/>
        </w:rPr>
        <w:t>atklātā konkursa</w:t>
      </w:r>
    </w:p>
    <w:p w14:paraId="3F1761BF" w14:textId="77777777" w:rsidR="00CA3272" w:rsidRDefault="00C56007" w:rsidP="00C56007">
      <w:pPr>
        <w:ind w:left="993" w:right="15" w:hanging="567"/>
        <w:jc w:val="center"/>
        <w:rPr>
          <w:b/>
          <w:lang w:val="lv-LV"/>
        </w:rPr>
      </w:pPr>
      <w:r w:rsidRPr="00C56007">
        <w:rPr>
          <w:b/>
          <w:lang w:val="lv-LV"/>
        </w:rPr>
        <w:t>„</w:t>
      </w:r>
      <w:bookmarkStart w:id="1" w:name="_Hlk500144329"/>
      <w:r w:rsidRPr="00C56007">
        <w:rPr>
          <w:b/>
          <w:lang w:val="lv-LV"/>
        </w:rPr>
        <w:t xml:space="preserve">Pārtikas produktu </w:t>
      </w:r>
      <w:r w:rsidR="00443874" w:rsidRPr="00443874">
        <w:rPr>
          <w:b/>
          <w:lang w:val="lv-LV"/>
        </w:rPr>
        <w:t>(piena produkti un dārzeņi)</w:t>
      </w:r>
      <w:r w:rsidRPr="00C56007">
        <w:rPr>
          <w:b/>
          <w:lang w:val="lv-LV"/>
        </w:rPr>
        <w:t xml:space="preserve"> piegāde</w:t>
      </w:r>
    </w:p>
    <w:p w14:paraId="6D166D8B" w14:textId="23EC6625" w:rsidR="00C56007" w:rsidRPr="00C56007" w:rsidRDefault="00C56007" w:rsidP="00C56007">
      <w:pPr>
        <w:ind w:left="993" w:right="15" w:hanging="567"/>
        <w:jc w:val="center"/>
        <w:rPr>
          <w:b/>
          <w:lang w:val="lv-LV"/>
        </w:rPr>
      </w:pPr>
      <w:r w:rsidRPr="00C56007">
        <w:rPr>
          <w:b/>
          <w:lang w:val="lv-LV"/>
        </w:rPr>
        <w:t>Rīgas pilsētas izglītības iestādēm</w:t>
      </w:r>
      <w:bookmarkEnd w:id="1"/>
      <w:r w:rsidRPr="00C56007">
        <w:rPr>
          <w:b/>
          <w:lang w:val="lv-LV"/>
        </w:rPr>
        <w:t xml:space="preserve">”, </w:t>
      </w:r>
    </w:p>
    <w:p w14:paraId="107558F2" w14:textId="1B19B550" w:rsidR="00C56007" w:rsidRPr="00C56007" w:rsidRDefault="00C56007" w:rsidP="00C56007">
      <w:pPr>
        <w:ind w:left="993" w:right="15" w:hanging="567"/>
        <w:jc w:val="center"/>
        <w:rPr>
          <w:b/>
          <w:lang w:val="lv-LV"/>
        </w:rPr>
      </w:pPr>
      <w:r w:rsidRPr="00C56007">
        <w:rPr>
          <w:b/>
          <w:lang w:val="lv-LV"/>
        </w:rPr>
        <w:t>identifikācijas Nr. RD IKSD 2021/</w:t>
      </w:r>
      <w:bookmarkEnd w:id="0"/>
      <w:r w:rsidR="00B144B2">
        <w:rPr>
          <w:b/>
          <w:lang w:val="lv-LV"/>
        </w:rPr>
        <w:t>2</w:t>
      </w:r>
      <w:r w:rsidR="00443874">
        <w:rPr>
          <w:b/>
          <w:lang w:val="lv-LV"/>
        </w:rPr>
        <w:t>6</w:t>
      </w:r>
    </w:p>
    <w:p w14:paraId="6A59C6C2" w14:textId="77777777" w:rsidR="00FD3A54" w:rsidRPr="000B676B" w:rsidRDefault="00FD3A54" w:rsidP="00FD3A54">
      <w:pPr>
        <w:jc w:val="center"/>
        <w:rPr>
          <w:lang w:val="lv-LV"/>
        </w:rPr>
      </w:pPr>
    </w:p>
    <w:p w14:paraId="07452636" w14:textId="5369E018" w:rsidR="00780167" w:rsidRDefault="0007139A" w:rsidP="00A01FDF">
      <w:pPr>
        <w:jc w:val="center"/>
        <w:rPr>
          <w:b/>
          <w:bCs/>
          <w:lang w:val="lv-LV"/>
        </w:rPr>
      </w:pPr>
      <w:r w:rsidRPr="000B676B">
        <w:rPr>
          <w:b/>
          <w:bCs/>
          <w:lang w:val="lv-LV"/>
        </w:rPr>
        <w:t>ZIŅOJUMS</w:t>
      </w:r>
    </w:p>
    <w:p w14:paraId="2AD31AC0" w14:textId="384A1315" w:rsidR="00D31771" w:rsidRPr="00EE53EE" w:rsidRDefault="00D31771" w:rsidP="00D31771">
      <w:pPr>
        <w:ind w:left="993" w:right="15" w:hanging="567"/>
        <w:jc w:val="center"/>
        <w:rPr>
          <w:b/>
          <w:sz w:val="26"/>
          <w:szCs w:val="26"/>
          <w:lang w:val="lv-LV"/>
        </w:rPr>
      </w:pPr>
      <w:r w:rsidRPr="00EE53EE">
        <w:rPr>
          <w:b/>
          <w:sz w:val="26"/>
          <w:szCs w:val="26"/>
          <w:lang w:val="lv-LV"/>
        </w:rPr>
        <w:t>(papildinājums pie 20.01.2022. ziņojuma</w:t>
      </w:r>
    </w:p>
    <w:p w14:paraId="7FB60393" w14:textId="5F995406" w:rsidR="00D31771" w:rsidRPr="00EE53EE" w:rsidRDefault="00D31771" w:rsidP="00D31771">
      <w:pPr>
        <w:ind w:left="993" w:right="15" w:hanging="567"/>
        <w:jc w:val="center"/>
        <w:rPr>
          <w:b/>
          <w:sz w:val="26"/>
          <w:szCs w:val="26"/>
          <w:lang w:val="lv-LV"/>
        </w:rPr>
      </w:pPr>
      <w:r w:rsidRPr="00EE53EE">
        <w:rPr>
          <w:b/>
          <w:sz w:val="26"/>
          <w:szCs w:val="26"/>
          <w:lang w:val="lv-LV"/>
        </w:rPr>
        <w:t>ar informāciju par iepirkuma 1. daļas pārtraukšanu)</w:t>
      </w:r>
    </w:p>
    <w:p w14:paraId="1FC6DB2D" w14:textId="77777777" w:rsidR="00D31771" w:rsidRPr="00EE53EE" w:rsidRDefault="00D31771" w:rsidP="00A01FDF">
      <w:pPr>
        <w:jc w:val="center"/>
        <w:rPr>
          <w:b/>
          <w:bCs/>
          <w:lang w:val="lv-LV"/>
        </w:rPr>
      </w:pPr>
    </w:p>
    <w:p w14:paraId="39220C41" w14:textId="77777777" w:rsidR="007D4EAB" w:rsidRPr="00EE53EE" w:rsidRDefault="007D4EAB" w:rsidP="007D4EAB">
      <w:pPr>
        <w:jc w:val="center"/>
        <w:rPr>
          <w:lang w:val="lv-LV"/>
        </w:rPr>
      </w:pPr>
    </w:p>
    <w:p w14:paraId="6A3CF7B9" w14:textId="0FC712C4" w:rsidR="007D4EAB" w:rsidRPr="00EE53EE" w:rsidRDefault="007D4EAB" w:rsidP="007D4EAB">
      <w:pPr>
        <w:jc w:val="both"/>
        <w:rPr>
          <w:lang w:val="lv-LV" w:eastAsia="ar-SA"/>
        </w:rPr>
      </w:pPr>
      <w:r w:rsidRPr="00EE53EE">
        <w:rPr>
          <w:lang w:val="lv-LV" w:eastAsia="ar-SA"/>
        </w:rPr>
        <w:t xml:space="preserve">Rīgā, </w:t>
      </w:r>
      <w:r w:rsidR="00D31771" w:rsidRPr="00EE53EE">
        <w:rPr>
          <w:lang w:val="lv-LV" w:eastAsia="ar-SA"/>
        </w:rPr>
        <w:t>02</w:t>
      </w:r>
      <w:r w:rsidR="00C56007" w:rsidRPr="00EE53EE">
        <w:rPr>
          <w:lang w:val="lv-LV" w:eastAsia="ar-SA"/>
        </w:rPr>
        <w:t>.</w:t>
      </w:r>
      <w:r w:rsidR="00443874" w:rsidRPr="00EE53EE">
        <w:rPr>
          <w:lang w:val="lv-LV" w:eastAsia="ar-SA"/>
        </w:rPr>
        <w:t>0</w:t>
      </w:r>
      <w:r w:rsidR="00D31771" w:rsidRPr="00EE53EE">
        <w:rPr>
          <w:lang w:val="lv-LV" w:eastAsia="ar-SA"/>
        </w:rPr>
        <w:t>3</w:t>
      </w:r>
      <w:r w:rsidRPr="00EE53EE">
        <w:rPr>
          <w:lang w:val="lv-LV" w:eastAsia="ar-SA"/>
        </w:rPr>
        <w:t>.202</w:t>
      </w:r>
      <w:r w:rsidR="00443874" w:rsidRPr="00EE53EE">
        <w:rPr>
          <w:lang w:val="lv-LV" w:eastAsia="ar-SA"/>
        </w:rPr>
        <w:t>2</w:t>
      </w:r>
      <w:r w:rsidRPr="00EE53EE">
        <w:rPr>
          <w:lang w:val="lv-LV" w:eastAsia="ar-SA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9"/>
        <w:gridCol w:w="6448"/>
      </w:tblGrid>
      <w:tr w:rsidR="003F195F" w:rsidRPr="00EE53EE" w14:paraId="5C2A786C" w14:textId="77777777" w:rsidTr="00995309">
        <w:tc>
          <w:tcPr>
            <w:tcW w:w="0" w:type="auto"/>
          </w:tcPr>
          <w:p w14:paraId="3FF85371" w14:textId="77777777" w:rsidR="007D4EAB" w:rsidRPr="00EE53EE" w:rsidRDefault="00116BA7" w:rsidP="007D4EAB">
            <w:pPr>
              <w:jc w:val="both"/>
              <w:rPr>
                <w:lang w:val="lv-LV" w:eastAsia="ar-SA"/>
              </w:rPr>
            </w:pPr>
            <w:r w:rsidRPr="00EE53EE">
              <w:rPr>
                <w:color w:val="000000"/>
                <w:lang w:val="lv-LV" w:eastAsia="ar-SA"/>
              </w:rPr>
              <w:t>Pasūtītājs</w:t>
            </w:r>
          </w:p>
        </w:tc>
        <w:tc>
          <w:tcPr>
            <w:tcW w:w="0" w:type="auto"/>
          </w:tcPr>
          <w:p w14:paraId="1B0C36B1" w14:textId="52B93E0E" w:rsidR="007D4EAB" w:rsidRPr="00EE53EE" w:rsidRDefault="00116BA7" w:rsidP="007D4EAB">
            <w:pPr>
              <w:jc w:val="both"/>
              <w:rPr>
                <w:color w:val="000000"/>
                <w:lang w:val="lv-LV" w:eastAsia="ar-SA"/>
              </w:rPr>
            </w:pPr>
            <w:r w:rsidRPr="00EE53EE">
              <w:rPr>
                <w:color w:val="000000"/>
                <w:lang w:val="lv-LV" w:eastAsia="ar-SA"/>
              </w:rPr>
              <w:t xml:space="preserve">Rīgas domes Izglītības, kultūras un sporta departaments (adrese: Krišjāņa Valdemāra ielā 5, Rīgā, LV-1010, RD iestādes kods: 210) ir Rīgas </w:t>
            </w:r>
            <w:proofErr w:type="spellStart"/>
            <w:r w:rsidR="00A91653" w:rsidRPr="00EE53EE">
              <w:rPr>
                <w:color w:val="000000"/>
                <w:lang w:val="lv-LV" w:eastAsia="ar-SA"/>
              </w:rPr>
              <w:t>valsts</w:t>
            </w:r>
            <w:r w:rsidRPr="00EE53EE">
              <w:rPr>
                <w:color w:val="000000"/>
                <w:lang w:val="lv-LV" w:eastAsia="ar-SA"/>
              </w:rPr>
              <w:t>pilsētas</w:t>
            </w:r>
            <w:proofErr w:type="spellEnd"/>
            <w:r w:rsidRPr="00EE53EE">
              <w:rPr>
                <w:color w:val="000000"/>
                <w:lang w:val="lv-LV" w:eastAsia="ar-SA"/>
              </w:rPr>
              <w:t xml:space="preserve"> pašvaldības (adrese: Rātslaukums 1, Rīga, LV-1050, NMR kods: 90011524360, PVN </w:t>
            </w:r>
            <w:proofErr w:type="spellStart"/>
            <w:r w:rsidRPr="00EE53EE">
              <w:rPr>
                <w:color w:val="000000"/>
                <w:lang w:val="lv-LV" w:eastAsia="ar-SA"/>
              </w:rPr>
              <w:t>reģ</w:t>
            </w:r>
            <w:proofErr w:type="spellEnd"/>
            <w:r w:rsidRPr="00EE53EE">
              <w:rPr>
                <w:color w:val="000000"/>
                <w:lang w:val="lv-LV" w:eastAsia="ar-SA"/>
              </w:rPr>
              <w:t>.</w:t>
            </w:r>
            <w:r w:rsidR="00465A00" w:rsidRPr="00EE53EE">
              <w:rPr>
                <w:color w:val="000000"/>
                <w:lang w:val="lv-LV" w:eastAsia="ar-SA"/>
              </w:rPr>
              <w:t xml:space="preserve"> </w:t>
            </w:r>
            <w:r w:rsidRPr="00EE53EE">
              <w:rPr>
                <w:color w:val="000000"/>
                <w:lang w:val="lv-LV" w:eastAsia="ar-SA"/>
              </w:rPr>
              <w:t>Nr.: LV90011524360) struktūrvienība</w:t>
            </w:r>
            <w:r w:rsidR="00C43A1B" w:rsidRPr="00EE53EE">
              <w:rPr>
                <w:color w:val="000000"/>
                <w:lang w:val="lv-LV" w:eastAsia="ar-SA"/>
              </w:rPr>
              <w:t>.</w:t>
            </w:r>
          </w:p>
          <w:p w14:paraId="54ED439F" w14:textId="77777777" w:rsidR="00C43A1B" w:rsidRPr="00EE53EE" w:rsidRDefault="00C43A1B" w:rsidP="007D4EAB">
            <w:pPr>
              <w:jc w:val="both"/>
              <w:rPr>
                <w:color w:val="000000"/>
                <w:lang w:val="lv-LV" w:eastAsia="ar-SA"/>
              </w:rPr>
            </w:pPr>
          </w:p>
          <w:p w14:paraId="34A5EAB9" w14:textId="34FB4D7F" w:rsidR="00C43A1B" w:rsidRPr="00EE53EE" w:rsidRDefault="00C43A1B" w:rsidP="007D4EAB">
            <w:pPr>
              <w:jc w:val="both"/>
              <w:rPr>
                <w:color w:val="000000"/>
                <w:lang w:val="lv-LV" w:eastAsia="ar-SA"/>
              </w:rPr>
            </w:pPr>
            <w:r w:rsidRPr="00EE53EE">
              <w:rPr>
                <w:color w:val="000000"/>
                <w:lang w:val="lv-LV" w:eastAsia="ar-SA"/>
              </w:rPr>
              <w:t xml:space="preserve">Atbilstoši Publisko iepirkumu likuma 17. panta regulējumam Rīgas domes Izglītības, kultūras un sporta departaments  kā centralizēta iepirkumu institūcija veic iepirkuma procedūru padotībā </w:t>
            </w:r>
            <w:r w:rsidR="00C56007" w:rsidRPr="00EE53EE">
              <w:rPr>
                <w:color w:val="000000"/>
                <w:lang w:val="lv-LV" w:eastAsia="ar-SA"/>
              </w:rPr>
              <w:t>esošo Rīgas izglītības iestāžu (turpmāk - Iestādes) vajadzībām</w:t>
            </w:r>
            <w:r w:rsidRPr="00EE53EE">
              <w:rPr>
                <w:color w:val="000000"/>
                <w:lang w:val="lv-LV" w:eastAsia="ar-SA"/>
              </w:rPr>
              <w:t>.</w:t>
            </w:r>
          </w:p>
        </w:tc>
      </w:tr>
      <w:tr w:rsidR="003F195F" w:rsidRPr="00EE53EE" w14:paraId="6477D760" w14:textId="77777777" w:rsidTr="00995309">
        <w:tc>
          <w:tcPr>
            <w:tcW w:w="0" w:type="auto"/>
          </w:tcPr>
          <w:p w14:paraId="645AB06F" w14:textId="77777777" w:rsidR="007D4EAB" w:rsidRPr="00EE53EE" w:rsidRDefault="0007139A" w:rsidP="007D4EAB">
            <w:pPr>
              <w:jc w:val="both"/>
              <w:rPr>
                <w:lang w:val="lv-LV" w:eastAsia="ar-SA"/>
              </w:rPr>
            </w:pPr>
            <w:r w:rsidRPr="00EE53EE">
              <w:rPr>
                <w:lang w:val="lv-LV"/>
              </w:rPr>
              <w:t>I</w:t>
            </w:r>
            <w:r w:rsidR="00116BA7" w:rsidRPr="00EE53EE">
              <w:rPr>
                <w:lang w:val="lv-LV"/>
              </w:rPr>
              <w:t>epirkuma identifikācijas numurs</w:t>
            </w:r>
          </w:p>
        </w:tc>
        <w:tc>
          <w:tcPr>
            <w:tcW w:w="0" w:type="auto"/>
          </w:tcPr>
          <w:p w14:paraId="062F6D11" w14:textId="4DB56DFD" w:rsidR="007D4EAB" w:rsidRPr="00EE53EE" w:rsidRDefault="00116BA7" w:rsidP="007D4EAB">
            <w:pPr>
              <w:jc w:val="both"/>
              <w:rPr>
                <w:lang w:val="lv-LV" w:eastAsia="ar-SA"/>
              </w:rPr>
            </w:pPr>
            <w:r w:rsidRPr="00EE53EE">
              <w:rPr>
                <w:color w:val="000000"/>
                <w:lang w:val="lv-LV" w:eastAsia="ar-SA"/>
              </w:rPr>
              <w:t>RD IKSD 202</w:t>
            </w:r>
            <w:r w:rsidR="00C43A1B" w:rsidRPr="00EE53EE">
              <w:rPr>
                <w:color w:val="000000"/>
                <w:lang w:val="lv-LV" w:eastAsia="ar-SA"/>
              </w:rPr>
              <w:t>1</w:t>
            </w:r>
            <w:r w:rsidRPr="00EE53EE">
              <w:rPr>
                <w:color w:val="000000"/>
                <w:lang w:val="lv-LV" w:eastAsia="ar-SA"/>
              </w:rPr>
              <w:t>/</w:t>
            </w:r>
            <w:r w:rsidR="00B144B2" w:rsidRPr="00EE53EE">
              <w:rPr>
                <w:color w:val="000000"/>
                <w:lang w:val="lv-LV" w:eastAsia="ar-SA"/>
              </w:rPr>
              <w:t>2</w:t>
            </w:r>
            <w:r w:rsidR="00CA3272" w:rsidRPr="00EE53EE">
              <w:rPr>
                <w:color w:val="000000"/>
                <w:lang w:val="lv-LV" w:eastAsia="ar-SA"/>
              </w:rPr>
              <w:t>6</w:t>
            </w:r>
          </w:p>
        </w:tc>
      </w:tr>
      <w:tr w:rsidR="003F195F" w:rsidRPr="00EE53EE" w14:paraId="1B5A9B6B" w14:textId="77777777" w:rsidTr="00995309">
        <w:tc>
          <w:tcPr>
            <w:tcW w:w="0" w:type="auto"/>
          </w:tcPr>
          <w:p w14:paraId="648E7289" w14:textId="77777777" w:rsidR="007D4EAB" w:rsidRPr="00EE53EE" w:rsidRDefault="0007139A" w:rsidP="007D4EAB">
            <w:pPr>
              <w:jc w:val="both"/>
              <w:rPr>
                <w:lang w:val="lv-LV" w:eastAsia="ar-SA"/>
              </w:rPr>
            </w:pPr>
            <w:r w:rsidRPr="00EE53EE">
              <w:rPr>
                <w:lang w:val="lv-LV"/>
              </w:rPr>
              <w:t>I</w:t>
            </w:r>
            <w:r w:rsidR="00116BA7" w:rsidRPr="00EE53EE">
              <w:rPr>
                <w:lang w:val="lv-LV"/>
              </w:rPr>
              <w:t>epirkuma procedūras veids</w:t>
            </w:r>
          </w:p>
        </w:tc>
        <w:tc>
          <w:tcPr>
            <w:tcW w:w="0" w:type="auto"/>
          </w:tcPr>
          <w:p w14:paraId="47CCEADA" w14:textId="77777777" w:rsidR="007D4EAB" w:rsidRPr="00EE53EE" w:rsidRDefault="00FD3A54" w:rsidP="007D4EAB">
            <w:pPr>
              <w:jc w:val="both"/>
              <w:rPr>
                <w:lang w:val="lv-LV" w:eastAsia="ar-SA"/>
              </w:rPr>
            </w:pPr>
            <w:r w:rsidRPr="00EE53EE">
              <w:rPr>
                <w:color w:val="000000"/>
                <w:lang w:val="lv-LV" w:eastAsia="ar-SA"/>
              </w:rPr>
              <w:t>Atklāts konkurss</w:t>
            </w:r>
            <w:r w:rsidR="00116BA7" w:rsidRPr="00EE53EE">
              <w:rPr>
                <w:color w:val="000000"/>
                <w:lang w:val="lv-LV" w:eastAsia="ar-SA"/>
              </w:rPr>
              <w:t xml:space="preserve"> </w:t>
            </w:r>
            <w:r w:rsidRPr="00EE53EE">
              <w:rPr>
                <w:lang w:val="lv-LV"/>
              </w:rPr>
              <w:t>atbilstoši Publisko iepirkumu likuma (turpmāk – PIL) 8.panta pirmās daļas 1.punktam</w:t>
            </w:r>
          </w:p>
        </w:tc>
      </w:tr>
      <w:tr w:rsidR="003F195F" w:rsidRPr="00EE53EE" w14:paraId="7340B489" w14:textId="77777777" w:rsidTr="00995309">
        <w:tc>
          <w:tcPr>
            <w:tcW w:w="0" w:type="auto"/>
          </w:tcPr>
          <w:p w14:paraId="7E0912C3" w14:textId="77777777" w:rsidR="00116BA7" w:rsidRPr="00EE53EE" w:rsidRDefault="00755109" w:rsidP="00116BA7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I</w:t>
            </w:r>
            <w:r w:rsidR="00116BA7" w:rsidRPr="00EE53EE">
              <w:rPr>
                <w:lang w:val="lv-LV"/>
              </w:rPr>
              <w:t>epirkuma līguma priekšmets</w:t>
            </w:r>
          </w:p>
        </w:tc>
        <w:tc>
          <w:tcPr>
            <w:tcW w:w="0" w:type="auto"/>
          </w:tcPr>
          <w:p w14:paraId="598263C2" w14:textId="1347F337" w:rsidR="00FD3A54" w:rsidRPr="00EE53EE" w:rsidRDefault="00C43A1B" w:rsidP="008045DD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 xml:space="preserve">Iepirkuma priekšmets ir </w:t>
            </w:r>
            <w:r w:rsidR="00C56007" w:rsidRPr="00EE53EE">
              <w:rPr>
                <w:lang w:val="lv-LV"/>
              </w:rPr>
              <w:t>pārtikas produktu (</w:t>
            </w:r>
            <w:r w:rsidR="00CA3272" w:rsidRPr="00EE53EE">
              <w:rPr>
                <w:lang w:val="lv-LV"/>
              </w:rPr>
              <w:t>piena produkti un dārzeņi</w:t>
            </w:r>
            <w:r w:rsidR="00C56007" w:rsidRPr="00EE53EE">
              <w:rPr>
                <w:lang w:val="lv-LV"/>
              </w:rPr>
              <w:t>) piegāde 4 (četru) Departamenta padotībā esošo Rīgas izglītības iestāžu (turpmāk - Iestādes) vajadzībām</w:t>
            </w:r>
            <w:r w:rsidRPr="00EE53EE">
              <w:rPr>
                <w:lang w:val="lv-LV"/>
              </w:rPr>
              <w:t>.</w:t>
            </w:r>
          </w:p>
          <w:p w14:paraId="3824B501" w14:textId="42C24FE6" w:rsidR="00C43A1B" w:rsidRPr="00EE53EE" w:rsidRDefault="00C56007" w:rsidP="00C56007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 xml:space="preserve">CPV iepirkumu klasifikatora kods: </w:t>
            </w:r>
            <w:hyperlink r:id="rId7" w:history="1">
              <w:r w:rsidRPr="00EE53EE">
                <w:rPr>
                  <w:lang w:val="lv-LV"/>
                </w:rPr>
                <w:t>15000000-</w:t>
              </w:r>
            </w:hyperlink>
            <w:r w:rsidRPr="00EE53EE">
              <w:rPr>
                <w:lang w:val="lv-LV"/>
              </w:rPr>
              <w:t>8.</w:t>
            </w:r>
          </w:p>
        </w:tc>
      </w:tr>
      <w:tr w:rsidR="003F195F" w:rsidRPr="00EE53EE" w14:paraId="2DDF8F38" w14:textId="77777777" w:rsidTr="00995309">
        <w:tc>
          <w:tcPr>
            <w:tcW w:w="0" w:type="auto"/>
          </w:tcPr>
          <w:p w14:paraId="145AEF6C" w14:textId="77777777" w:rsidR="00FD3A54" w:rsidRPr="00EE53EE" w:rsidRDefault="00FD3A54" w:rsidP="00116BA7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Datums, kad paziņojums par līgumu un iepriekšējais informatīvais paziņojums, ja tāds ir izmantots, publicēts Eiropas Savienības Oficiālajā Vēstnesī (ja attiecināms) un Iepirkumu uzraudzības biroja tīmekļvietnē</w:t>
            </w:r>
          </w:p>
        </w:tc>
        <w:tc>
          <w:tcPr>
            <w:tcW w:w="0" w:type="auto"/>
          </w:tcPr>
          <w:p w14:paraId="21DD6C0E" w14:textId="7C18702B" w:rsidR="00FD3A54" w:rsidRPr="00EE53EE" w:rsidRDefault="00B144B2" w:rsidP="008045DD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0</w:t>
            </w:r>
            <w:r w:rsidR="00CA3272" w:rsidRPr="00EE53EE">
              <w:rPr>
                <w:lang w:val="lv-LV"/>
              </w:rPr>
              <w:t>5</w:t>
            </w:r>
            <w:r w:rsidR="00586F0B" w:rsidRPr="00EE53EE">
              <w:rPr>
                <w:lang w:val="lv-LV"/>
              </w:rPr>
              <w:t>.</w:t>
            </w:r>
            <w:r w:rsidRPr="00EE53EE">
              <w:rPr>
                <w:lang w:val="lv-LV"/>
              </w:rPr>
              <w:t>1</w:t>
            </w:r>
            <w:r w:rsidR="00CA3272" w:rsidRPr="00EE53EE">
              <w:rPr>
                <w:lang w:val="lv-LV"/>
              </w:rPr>
              <w:t>2</w:t>
            </w:r>
            <w:r w:rsidR="00D8280E" w:rsidRPr="00EE53EE">
              <w:rPr>
                <w:lang w:val="lv-LV"/>
              </w:rPr>
              <w:t>.2021.</w:t>
            </w:r>
          </w:p>
          <w:p w14:paraId="221C8B4B" w14:textId="4963B644" w:rsidR="00D8280E" w:rsidRPr="00EE53EE" w:rsidRDefault="00EE53EE" w:rsidP="008045DD">
            <w:pPr>
              <w:jc w:val="both"/>
              <w:rPr>
                <w:rStyle w:val="Hipersaite"/>
                <w:lang w:val="lv-LV"/>
              </w:rPr>
            </w:pPr>
            <w:r w:rsidRPr="00EE53EE">
              <w:fldChar w:fldCharType="begin"/>
            </w:r>
            <w:r w:rsidRPr="00EE53EE">
              <w:rPr>
                <w:lang w:val="lv-LV"/>
              </w:rPr>
              <w:instrText xml:space="preserve"> HYPERLINK "https://pvs.iub.gov.lv/show/677686" </w:instrText>
            </w:r>
            <w:r w:rsidRPr="00EE53EE">
              <w:fldChar w:fldCharType="separate"/>
            </w:r>
            <w:r w:rsidR="00586F0B" w:rsidRPr="00EE53EE">
              <w:rPr>
                <w:rStyle w:val="Hipersaite"/>
                <w:lang w:val="lv-LV"/>
              </w:rPr>
              <w:t>Iepirkumu uzraudzības birojs (iub.gov.lv)</w:t>
            </w:r>
            <w:r w:rsidRPr="00EE53EE">
              <w:rPr>
                <w:rStyle w:val="Hipersaite"/>
                <w:lang w:val="lv-LV"/>
              </w:rPr>
              <w:fldChar w:fldCharType="end"/>
            </w:r>
          </w:p>
          <w:p w14:paraId="1154361B" w14:textId="30045304" w:rsidR="00DB58E2" w:rsidRPr="00EE53EE" w:rsidRDefault="00DB58E2" w:rsidP="008045DD">
            <w:pPr>
              <w:jc w:val="both"/>
              <w:rPr>
                <w:rStyle w:val="Hipersaite"/>
                <w:lang w:val="lv-LV"/>
              </w:rPr>
            </w:pPr>
          </w:p>
          <w:p w14:paraId="30F19AF8" w14:textId="39F09C76" w:rsidR="00DB58E2" w:rsidRPr="00EE53EE" w:rsidRDefault="00DB58E2" w:rsidP="008045DD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08.12.2021.</w:t>
            </w:r>
          </w:p>
          <w:p w14:paraId="5EAF2C8A" w14:textId="7F34CB69" w:rsidR="00DB58E2" w:rsidRPr="00EE53EE" w:rsidRDefault="00EE53EE" w:rsidP="008045DD">
            <w:pPr>
              <w:jc w:val="both"/>
              <w:rPr>
                <w:lang w:val="lv-LV"/>
              </w:rPr>
            </w:pPr>
            <w:hyperlink r:id="rId8" w:history="1">
              <w:r w:rsidR="00DB58E2" w:rsidRPr="00EE53EE">
                <w:rPr>
                  <w:rStyle w:val="Hipersaite"/>
                  <w:lang w:val="lv-LV"/>
                </w:rPr>
                <w:t>Eiropas Savienības Oficiālais Vēstnesis (https://ted.europa.eu)</w:t>
              </w:r>
            </w:hyperlink>
          </w:p>
          <w:p w14:paraId="13F3E63E" w14:textId="77777777" w:rsidR="00586F0B" w:rsidRPr="00EE53EE" w:rsidRDefault="00586F0B" w:rsidP="008045DD">
            <w:pPr>
              <w:jc w:val="both"/>
              <w:rPr>
                <w:lang w:val="lv-LV"/>
              </w:rPr>
            </w:pPr>
          </w:p>
          <w:p w14:paraId="7F9FBB40" w14:textId="3C1886B0" w:rsidR="00586F0B" w:rsidRPr="00EE53EE" w:rsidRDefault="00586F0B" w:rsidP="008045DD">
            <w:pPr>
              <w:jc w:val="both"/>
              <w:rPr>
                <w:lang w:val="lv-LV"/>
              </w:rPr>
            </w:pPr>
          </w:p>
        </w:tc>
      </w:tr>
      <w:tr w:rsidR="003F195F" w:rsidRPr="00EE53EE" w14:paraId="41329789" w14:textId="77777777" w:rsidTr="00995309">
        <w:tc>
          <w:tcPr>
            <w:tcW w:w="0" w:type="auto"/>
          </w:tcPr>
          <w:p w14:paraId="748632AE" w14:textId="77777777" w:rsidR="008045DD" w:rsidRPr="00EE53EE" w:rsidRDefault="00FD3A54" w:rsidP="00116BA7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Iepirkuma komisijas sastāvs un tās izveidošanas pamatojums, iepirkuma procedūras dokumentu sagatavotāji un pieaicinātie eksperti</w:t>
            </w:r>
          </w:p>
        </w:tc>
        <w:tc>
          <w:tcPr>
            <w:tcW w:w="0" w:type="auto"/>
          </w:tcPr>
          <w:p w14:paraId="402029DC" w14:textId="4CB69239" w:rsidR="009F76CA" w:rsidRPr="00EE53EE" w:rsidRDefault="009F76CA" w:rsidP="009F76CA">
            <w:pPr>
              <w:ind w:right="15"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 xml:space="preserve">Iepirkuma komisija izveidota saskaņā ar Rīgas domes Izglītības, kultūras un sporta departamenta </w:t>
            </w:r>
            <w:r w:rsidR="000D1737" w:rsidRPr="00EE53EE">
              <w:rPr>
                <w:lang w:val="lv-LV"/>
              </w:rPr>
              <w:t>30.11.2021. rīkojumu Nr. DIKS-21-1015-rs</w:t>
            </w:r>
            <w:r w:rsidRPr="00EE53EE">
              <w:rPr>
                <w:lang w:val="lv-LV"/>
              </w:rPr>
              <w:t xml:space="preserve"> šādā sastāvā: </w:t>
            </w:r>
          </w:p>
          <w:p w14:paraId="2CF2B15E" w14:textId="77777777" w:rsidR="009F76CA" w:rsidRPr="00EE53EE" w:rsidRDefault="009F76CA" w:rsidP="009F76CA">
            <w:pPr>
              <w:ind w:right="15"/>
              <w:jc w:val="both"/>
              <w:rPr>
                <w:lang w:val="lv-LV"/>
              </w:rPr>
            </w:pPr>
            <w:bookmarkStart w:id="2" w:name="_Hlk27645769"/>
            <w:r w:rsidRPr="00EE53EE">
              <w:rPr>
                <w:lang w:val="lv-LV"/>
              </w:rPr>
              <w:t>Komisijas priekšsēdētāja – Departamenta Tiesiskā nodrošinājuma pārvaldes Iepirkumu nodaļas vadītāja – pārvaldes priekšnieka vietniece Kristīne Graudumniece;</w:t>
            </w:r>
          </w:p>
          <w:p w14:paraId="758B31D2" w14:textId="43F7D8CC" w:rsidR="009F76CA" w:rsidRPr="00EE53EE" w:rsidRDefault="009F76CA" w:rsidP="009F76CA">
            <w:pPr>
              <w:ind w:right="15"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 xml:space="preserve">Komisijas priekšsēdētāja vietniece – Departamenta Tiesiskā nodrošinājuma pārvaldes Iepirkumu nodaļas galvenā eksperte </w:t>
            </w:r>
            <w:bookmarkStart w:id="3" w:name="_Hlk32928828"/>
            <w:r w:rsidRPr="00EE53EE">
              <w:rPr>
                <w:lang w:val="lv-LV"/>
              </w:rPr>
              <w:t>iepirkumu jautājumos</w:t>
            </w:r>
            <w:bookmarkEnd w:id="3"/>
            <w:r w:rsidRPr="00EE53EE">
              <w:rPr>
                <w:lang w:val="lv-LV"/>
              </w:rPr>
              <w:t xml:space="preserve"> Anastasija Goļatkina</w:t>
            </w:r>
            <w:r w:rsidR="000D1737" w:rsidRPr="00EE53EE">
              <w:rPr>
                <w:lang w:val="lv-LV"/>
              </w:rPr>
              <w:t xml:space="preserve"> (nolikuma sagatavotāja)</w:t>
            </w:r>
            <w:r w:rsidRPr="00EE53EE">
              <w:rPr>
                <w:lang w:val="lv-LV"/>
              </w:rPr>
              <w:t>;</w:t>
            </w:r>
          </w:p>
          <w:p w14:paraId="78033AD9" w14:textId="77777777" w:rsidR="009F76CA" w:rsidRPr="00EE53EE" w:rsidRDefault="009F76CA" w:rsidP="009F76CA">
            <w:pPr>
              <w:ind w:right="15"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Komisijas locekļi:</w:t>
            </w:r>
          </w:p>
          <w:p w14:paraId="2EF596E3" w14:textId="77777777" w:rsidR="009F76CA" w:rsidRPr="00EE53EE" w:rsidRDefault="009F76CA" w:rsidP="009F76CA">
            <w:pPr>
              <w:ind w:right="15"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lastRenderedPageBreak/>
              <w:t>Departamenta Tiesiskā nodrošinājuma pārvaldes Iepirkumu nodaļas galvenā eksperte iepirkumu jautājumos – juriskonsulte Inese Liepa,</w:t>
            </w:r>
          </w:p>
          <w:p w14:paraId="5A7681F3" w14:textId="255E06C5" w:rsidR="008045DD" w:rsidRPr="00EE53EE" w:rsidRDefault="009F76CA" w:rsidP="00F73890">
            <w:pPr>
              <w:ind w:right="15"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Departamenta Izglītības pārvaldes Izglītības atbalsta nodaļas galvenā speciāliste – eksperte Ingrīda Millere</w:t>
            </w:r>
            <w:bookmarkEnd w:id="2"/>
            <w:r w:rsidR="000D1737" w:rsidRPr="00EE53EE">
              <w:rPr>
                <w:lang w:val="lv-LV"/>
              </w:rPr>
              <w:t xml:space="preserve"> (tehniskās specifikācijas sagatavotāja),</w:t>
            </w:r>
          </w:p>
          <w:p w14:paraId="4369F953" w14:textId="77777777" w:rsidR="000D1737" w:rsidRPr="00EE53EE" w:rsidRDefault="000D1737" w:rsidP="00F73890">
            <w:pPr>
              <w:ind w:right="15"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Rīgas domes Finanšu departamenta Administratīvās pārvaldes Iepirkumu nodaļas vadītāja Marija Meirupska.</w:t>
            </w:r>
          </w:p>
          <w:p w14:paraId="553DDC20" w14:textId="0A57AE96" w:rsidR="000D1737" w:rsidRPr="00EE53EE" w:rsidRDefault="000D1737" w:rsidP="00F73890">
            <w:pPr>
              <w:ind w:right="15"/>
              <w:jc w:val="both"/>
              <w:rPr>
                <w:lang w:val="lv-LV"/>
              </w:rPr>
            </w:pPr>
          </w:p>
        </w:tc>
      </w:tr>
      <w:tr w:rsidR="003F195F" w:rsidRPr="00EE53EE" w14:paraId="22096B5A" w14:textId="77777777" w:rsidTr="00995309">
        <w:tc>
          <w:tcPr>
            <w:tcW w:w="0" w:type="auto"/>
          </w:tcPr>
          <w:p w14:paraId="4CEC296D" w14:textId="77777777" w:rsidR="00FD3A54" w:rsidRPr="00EE53EE" w:rsidRDefault="00FD3A54" w:rsidP="00116BA7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lastRenderedPageBreak/>
              <w:t>Piedāvājumu iesniegšanas termiņš</w:t>
            </w:r>
          </w:p>
        </w:tc>
        <w:tc>
          <w:tcPr>
            <w:tcW w:w="0" w:type="auto"/>
          </w:tcPr>
          <w:p w14:paraId="1AFE1F74" w14:textId="741A2E2E" w:rsidR="00FD3A54" w:rsidRPr="00EE53EE" w:rsidRDefault="00FD3A54" w:rsidP="00FD3A54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 xml:space="preserve">Līdz </w:t>
            </w:r>
            <w:r w:rsidR="00F73890" w:rsidRPr="00EE53EE">
              <w:rPr>
                <w:lang w:val="lv-LV"/>
              </w:rPr>
              <w:t>0</w:t>
            </w:r>
            <w:r w:rsidR="00ED0353" w:rsidRPr="00EE53EE">
              <w:rPr>
                <w:lang w:val="lv-LV"/>
              </w:rPr>
              <w:t>6</w:t>
            </w:r>
            <w:r w:rsidR="009F76CA" w:rsidRPr="00EE53EE">
              <w:rPr>
                <w:lang w:val="lv-LV"/>
              </w:rPr>
              <w:t>.</w:t>
            </w:r>
            <w:r w:rsidR="00ED0353" w:rsidRPr="00EE53EE">
              <w:rPr>
                <w:lang w:val="lv-LV"/>
              </w:rPr>
              <w:t>01</w:t>
            </w:r>
            <w:r w:rsidR="000B676B" w:rsidRPr="00EE53EE">
              <w:rPr>
                <w:lang w:val="lv-LV"/>
              </w:rPr>
              <w:t>.202</w:t>
            </w:r>
            <w:r w:rsidR="00ED0353" w:rsidRPr="00EE53EE">
              <w:rPr>
                <w:lang w:val="lv-LV"/>
              </w:rPr>
              <w:t>2</w:t>
            </w:r>
            <w:r w:rsidR="000B676B" w:rsidRPr="00EE53EE">
              <w:rPr>
                <w:lang w:val="lv-LV"/>
              </w:rPr>
              <w:t>., plkst.10.00</w:t>
            </w:r>
          </w:p>
        </w:tc>
      </w:tr>
      <w:tr w:rsidR="003F195F" w:rsidRPr="00EE53EE" w14:paraId="7857B960" w14:textId="77777777" w:rsidTr="00995309">
        <w:tc>
          <w:tcPr>
            <w:tcW w:w="0" w:type="auto"/>
          </w:tcPr>
          <w:p w14:paraId="5E6816BD" w14:textId="77777777" w:rsidR="00266ECF" w:rsidRPr="00EE53EE" w:rsidRDefault="00266ECF" w:rsidP="00116BA7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Piedāvājumu atvēršanas vieta, datums un laiks</w:t>
            </w:r>
          </w:p>
        </w:tc>
        <w:tc>
          <w:tcPr>
            <w:tcW w:w="0" w:type="auto"/>
          </w:tcPr>
          <w:p w14:paraId="5A3D2F98" w14:textId="666109EA" w:rsidR="00266ECF" w:rsidRPr="00EE53EE" w:rsidRDefault="00266ECF" w:rsidP="00FD3A54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 xml:space="preserve">Valsts informācijas sistēmas e-konkursu apakšsistēmas tīmekļvietnē www.eis.gov.lv </w:t>
            </w:r>
            <w:r w:rsidR="00F73890" w:rsidRPr="00EE53EE">
              <w:rPr>
                <w:lang w:val="lv-LV"/>
              </w:rPr>
              <w:t>0</w:t>
            </w:r>
            <w:r w:rsidR="00A73E37" w:rsidRPr="00EE53EE">
              <w:rPr>
                <w:lang w:val="lv-LV"/>
              </w:rPr>
              <w:t>6</w:t>
            </w:r>
            <w:r w:rsidR="009F76CA" w:rsidRPr="00EE53EE">
              <w:rPr>
                <w:lang w:val="lv-LV"/>
              </w:rPr>
              <w:t>.</w:t>
            </w:r>
            <w:r w:rsidR="00A73E37" w:rsidRPr="00EE53EE">
              <w:rPr>
                <w:lang w:val="lv-LV"/>
              </w:rPr>
              <w:t>01</w:t>
            </w:r>
            <w:r w:rsidR="009F76CA" w:rsidRPr="00EE53EE">
              <w:rPr>
                <w:lang w:val="lv-LV"/>
              </w:rPr>
              <w:t>.202</w:t>
            </w:r>
            <w:r w:rsidR="00A73E37" w:rsidRPr="00EE53EE">
              <w:rPr>
                <w:lang w:val="lv-LV"/>
              </w:rPr>
              <w:t>2</w:t>
            </w:r>
            <w:r w:rsidR="009F76CA" w:rsidRPr="00EE53EE">
              <w:rPr>
                <w:lang w:val="lv-LV"/>
              </w:rPr>
              <w:t>., plkst.10.00</w:t>
            </w:r>
          </w:p>
        </w:tc>
      </w:tr>
      <w:tr w:rsidR="003F195F" w:rsidRPr="00EE53EE" w14:paraId="1555476E" w14:textId="77777777" w:rsidTr="00724584">
        <w:trPr>
          <w:trHeight w:val="3582"/>
        </w:trPr>
        <w:tc>
          <w:tcPr>
            <w:tcW w:w="0" w:type="auto"/>
          </w:tcPr>
          <w:p w14:paraId="586F8BF0" w14:textId="77777777" w:rsidR="00FD3A54" w:rsidRPr="00EE53EE" w:rsidRDefault="00FD3A54" w:rsidP="00116BA7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To piegādātāju nosaukumi, kuri ir iesnieguši piedāvājumus, kā arī piedāvātās cenas</w:t>
            </w:r>
          </w:p>
        </w:tc>
        <w:tc>
          <w:tcPr>
            <w:tcW w:w="0" w:type="auto"/>
          </w:tcPr>
          <w:p w14:paraId="7E2F66E8" w14:textId="46C8D55B" w:rsidR="00266ECF" w:rsidRPr="00EE53EE" w:rsidRDefault="00A73E37" w:rsidP="00A73E37">
            <w:pPr>
              <w:rPr>
                <w:bCs/>
                <w:szCs w:val="26"/>
                <w:lang w:val="lv-LV"/>
              </w:rPr>
            </w:pPr>
            <w:r w:rsidRPr="00EE53EE">
              <w:rPr>
                <w:b/>
                <w:lang w:val="lv-LV"/>
              </w:rPr>
              <w:t>Daļai Nr. 1 - Piens un piena produkti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08"/>
              <w:gridCol w:w="2130"/>
              <w:gridCol w:w="2484"/>
            </w:tblGrid>
            <w:tr w:rsidR="003F195F" w:rsidRPr="00EE53EE" w14:paraId="1EC8AEEE" w14:textId="77777777" w:rsidTr="001831B5">
              <w:tc>
                <w:tcPr>
                  <w:tcW w:w="0" w:type="auto"/>
                  <w:shd w:val="pct10" w:color="auto" w:fill="auto"/>
                </w:tcPr>
                <w:p w14:paraId="357F8EE8" w14:textId="77777777" w:rsidR="009F76CA" w:rsidRPr="00EE53EE" w:rsidRDefault="009F76CA" w:rsidP="009F76CA">
                  <w:pPr>
                    <w:rPr>
                      <w:b/>
                      <w:bCs/>
                      <w:lang w:val="lv-LV"/>
                    </w:rPr>
                  </w:pPr>
                  <w:r w:rsidRPr="00EE53EE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0" w:type="auto"/>
                  <w:shd w:val="pct10" w:color="auto" w:fill="auto"/>
                </w:tcPr>
                <w:p w14:paraId="799A2E33" w14:textId="77777777" w:rsidR="009F76CA" w:rsidRPr="00EE53EE" w:rsidRDefault="009F76CA" w:rsidP="009F76CA">
                  <w:pPr>
                    <w:rPr>
                      <w:b/>
                      <w:bCs/>
                      <w:lang w:val="lv-LV"/>
                    </w:rPr>
                  </w:pPr>
                  <w:r w:rsidRPr="00EE53EE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0" w:type="auto"/>
                  <w:shd w:val="pct10" w:color="auto" w:fill="auto"/>
                </w:tcPr>
                <w:p w14:paraId="2AEB4527" w14:textId="77777777" w:rsidR="009F76CA" w:rsidRPr="00EE53EE" w:rsidRDefault="009F76CA" w:rsidP="009F76CA">
                  <w:pPr>
                    <w:rPr>
                      <w:b/>
                      <w:bCs/>
                      <w:lang w:val="lv-LV"/>
                    </w:rPr>
                  </w:pPr>
                  <w:r w:rsidRPr="00EE53EE">
                    <w:rPr>
                      <w:b/>
                      <w:lang w:val="lv-LV"/>
                    </w:rPr>
                    <w:t>Finanšu piedāvājums</w:t>
                  </w:r>
                </w:p>
              </w:tc>
            </w:tr>
            <w:tr w:rsidR="003F195F" w:rsidRPr="00EE53EE" w14:paraId="298FDA71" w14:textId="77777777" w:rsidTr="00BB28AB">
              <w:tc>
                <w:tcPr>
                  <w:tcW w:w="0" w:type="auto"/>
                  <w:shd w:val="clear" w:color="auto" w:fill="auto"/>
                </w:tcPr>
                <w:p w14:paraId="13EB9810" w14:textId="569834CF" w:rsidR="00724584" w:rsidRPr="00EE53EE" w:rsidRDefault="00724584" w:rsidP="00724584">
                  <w:pPr>
                    <w:rPr>
                      <w:bCs/>
                      <w:lang w:val="lv-LV"/>
                    </w:rPr>
                  </w:pPr>
                  <w:r w:rsidRPr="00EE53EE">
                    <w:t>"Nimaks" SIA</w:t>
                  </w:r>
                  <w:r w:rsidRPr="00EE53EE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503548BF" w14:textId="282EC733" w:rsidR="00724584" w:rsidRPr="00EE53EE" w:rsidRDefault="00724584" w:rsidP="00724584">
                  <w:pPr>
                    <w:rPr>
                      <w:bCs/>
                      <w:lang w:val="lv-LV"/>
                    </w:rPr>
                  </w:pPr>
                  <w:r w:rsidRPr="00EE53EE">
                    <w:t xml:space="preserve">05.01.2022 </w:t>
                  </w:r>
                  <w:proofErr w:type="spellStart"/>
                  <w:r w:rsidRPr="00EE53EE">
                    <w:t>plkst</w:t>
                  </w:r>
                  <w:proofErr w:type="spellEnd"/>
                  <w:r w:rsidRPr="00EE53EE">
                    <w:t>. 17:30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259CB12B" w14:textId="77777777" w:rsidR="00724584" w:rsidRPr="00EE53EE" w:rsidRDefault="00724584" w:rsidP="00724584">
                  <w:r w:rsidRPr="00EE53EE">
                    <w:t>EUR 142480.38</w:t>
                  </w:r>
                </w:p>
                <w:p w14:paraId="2734A44D" w14:textId="6C0E898F" w:rsidR="00724584" w:rsidRPr="00EE53EE" w:rsidRDefault="00724584" w:rsidP="00724584">
                  <w:pPr>
                    <w:rPr>
                      <w:lang w:val="lv-LV"/>
                    </w:rPr>
                  </w:pPr>
                </w:p>
              </w:tc>
            </w:tr>
            <w:tr w:rsidR="003F195F" w:rsidRPr="00EE53EE" w14:paraId="374886DD" w14:textId="77777777" w:rsidTr="00BB28AB">
              <w:tc>
                <w:tcPr>
                  <w:tcW w:w="0" w:type="auto"/>
                  <w:shd w:val="clear" w:color="auto" w:fill="auto"/>
                </w:tcPr>
                <w:p w14:paraId="0EBBEAEF" w14:textId="07457699" w:rsidR="00724584" w:rsidRPr="00EE53EE" w:rsidRDefault="00724584" w:rsidP="00724584">
                  <w:pPr>
                    <w:rPr>
                      <w:bCs/>
                      <w:lang w:val="lv-LV"/>
                    </w:rPr>
                  </w:pPr>
                  <w:r w:rsidRPr="00EE53EE">
                    <w:t>"Sanitex" SIA</w:t>
                  </w:r>
                  <w:r w:rsidRPr="00EE53EE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5A308A0C" w14:textId="0EE372FF" w:rsidR="00724584" w:rsidRPr="00EE53EE" w:rsidRDefault="00724584" w:rsidP="00724584">
                  <w:pPr>
                    <w:rPr>
                      <w:bCs/>
                      <w:lang w:val="lv-LV"/>
                    </w:rPr>
                  </w:pPr>
                  <w:r w:rsidRPr="00EE53EE">
                    <w:t xml:space="preserve">06.01.2022 </w:t>
                  </w:r>
                  <w:proofErr w:type="spellStart"/>
                  <w:r w:rsidRPr="00EE53EE">
                    <w:t>plkst</w:t>
                  </w:r>
                  <w:proofErr w:type="spellEnd"/>
                  <w:r w:rsidRPr="00EE53EE">
                    <w:t>. 09:31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46BF68F1" w14:textId="77777777" w:rsidR="00724584" w:rsidRPr="00EE53EE" w:rsidRDefault="00724584" w:rsidP="00724584">
                  <w:r w:rsidRPr="00EE53EE">
                    <w:t>EUR 153059.82</w:t>
                  </w:r>
                </w:p>
                <w:p w14:paraId="132CC32E" w14:textId="5A966179" w:rsidR="00724584" w:rsidRPr="00EE53EE" w:rsidRDefault="00724584" w:rsidP="00724584">
                  <w:pPr>
                    <w:rPr>
                      <w:lang w:val="lv-LV"/>
                    </w:rPr>
                  </w:pPr>
                </w:p>
              </w:tc>
            </w:tr>
            <w:tr w:rsidR="003F195F" w:rsidRPr="00EE53EE" w14:paraId="13C01D5D" w14:textId="77777777" w:rsidTr="00BB28AB">
              <w:tc>
                <w:tcPr>
                  <w:tcW w:w="0" w:type="auto"/>
                  <w:shd w:val="clear" w:color="auto" w:fill="auto"/>
                </w:tcPr>
                <w:p w14:paraId="746AAD3D" w14:textId="3829CA41" w:rsidR="00724584" w:rsidRPr="00EE53EE" w:rsidRDefault="00724584" w:rsidP="00724584">
                  <w:pPr>
                    <w:rPr>
                      <w:bCs/>
                      <w:lang w:val="lv-LV"/>
                    </w:rPr>
                  </w:pPr>
                  <w:r w:rsidRPr="00EE53EE">
                    <w:t>"S.A.V." SIA</w:t>
                  </w:r>
                  <w:r w:rsidRPr="00EE53EE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3B84FF03" w14:textId="3640FE40" w:rsidR="00724584" w:rsidRPr="00EE53EE" w:rsidRDefault="00724584" w:rsidP="00724584">
                  <w:pPr>
                    <w:rPr>
                      <w:bCs/>
                      <w:lang w:val="lv-LV"/>
                    </w:rPr>
                  </w:pPr>
                  <w:r w:rsidRPr="00EE53EE">
                    <w:t xml:space="preserve">05.01.2022 </w:t>
                  </w:r>
                  <w:proofErr w:type="spellStart"/>
                  <w:r w:rsidRPr="00EE53EE">
                    <w:t>plkst</w:t>
                  </w:r>
                  <w:proofErr w:type="spellEnd"/>
                  <w:r w:rsidRPr="00EE53EE">
                    <w:t>. 18:57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7666A088" w14:textId="77777777" w:rsidR="00724584" w:rsidRPr="00EE53EE" w:rsidRDefault="00724584" w:rsidP="00724584">
                  <w:r w:rsidRPr="00EE53EE">
                    <w:t>EUR 148659.3</w:t>
                  </w:r>
                </w:p>
                <w:p w14:paraId="7837E7AF" w14:textId="2B3BCCA6" w:rsidR="00724584" w:rsidRPr="00EE53EE" w:rsidRDefault="00724584" w:rsidP="00724584">
                  <w:pPr>
                    <w:rPr>
                      <w:lang w:val="lv-LV"/>
                    </w:rPr>
                  </w:pPr>
                </w:p>
              </w:tc>
            </w:tr>
            <w:tr w:rsidR="00724584" w:rsidRPr="00EE53EE" w14:paraId="58E682A7" w14:textId="77777777" w:rsidTr="00A7419E">
              <w:tc>
                <w:tcPr>
                  <w:tcW w:w="0" w:type="auto"/>
                  <w:gridSpan w:val="3"/>
                  <w:tcBorders>
                    <w:left w:val="nil"/>
                    <w:right w:val="nil"/>
                  </w:tcBorders>
                </w:tcPr>
                <w:p w14:paraId="6C723B73" w14:textId="77777777" w:rsidR="00724584" w:rsidRPr="00EE53EE" w:rsidRDefault="00724584" w:rsidP="00724584">
                  <w:pPr>
                    <w:rPr>
                      <w:b/>
                      <w:lang w:val="lv-LV"/>
                    </w:rPr>
                  </w:pPr>
                </w:p>
                <w:p w14:paraId="58A8A59E" w14:textId="70724FF4" w:rsidR="00724584" w:rsidRPr="00EE53EE" w:rsidRDefault="00724584" w:rsidP="00724584">
                  <w:pPr>
                    <w:jc w:val="both"/>
                    <w:rPr>
                      <w:bCs/>
                      <w:szCs w:val="26"/>
                      <w:lang w:val="lv-LV"/>
                    </w:rPr>
                  </w:pPr>
                  <w:r w:rsidRPr="00EE53EE">
                    <w:rPr>
                      <w:b/>
                      <w:lang w:val="lv-LV"/>
                    </w:rPr>
                    <w:t>Daļai Nr. 2 - Lauku platībās audzēti dārzeņi un sakņaugi, segtās platībās audzēti dārzeņi un garšaugi, svaigi kartupeļi</w:t>
                  </w:r>
                </w:p>
              </w:tc>
            </w:tr>
            <w:tr w:rsidR="003F195F" w:rsidRPr="00EE53EE" w14:paraId="6651F3C9" w14:textId="77777777" w:rsidTr="00735730">
              <w:tc>
                <w:tcPr>
                  <w:tcW w:w="0" w:type="auto"/>
                  <w:shd w:val="pct10" w:color="auto" w:fill="auto"/>
                </w:tcPr>
                <w:p w14:paraId="1E2F1BDC" w14:textId="1F30DC52" w:rsidR="00724584" w:rsidRPr="00EE53EE" w:rsidRDefault="00724584" w:rsidP="00724584">
                  <w:pPr>
                    <w:rPr>
                      <w:lang w:val="lv-LV"/>
                    </w:rPr>
                  </w:pPr>
                  <w:r w:rsidRPr="00EE53EE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0" w:type="auto"/>
                  <w:shd w:val="pct10" w:color="auto" w:fill="auto"/>
                </w:tcPr>
                <w:p w14:paraId="104C7C93" w14:textId="3080E90B" w:rsidR="00724584" w:rsidRPr="00EE53EE" w:rsidRDefault="00724584" w:rsidP="00724584">
                  <w:pPr>
                    <w:rPr>
                      <w:lang w:val="lv-LV"/>
                    </w:rPr>
                  </w:pPr>
                  <w:proofErr w:type="spellStart"/>
                  <w:r w:rsidRPr="00EE53EE">
                    <w:rPr>
                      <w:b/>
                      <w:bCs/>
                    </w:rPr>
                    <w:t>Iesniegšanas</w:t>
                  </w:r>
                  <w:proofErr w:type="spellEnd"/>
                  <w:r w:rsidRPr="00EE53EE">
                    <w:rPr>
                      <w:b/>
                      <w:bCs/>
                    </w:rPr>
                    <w:t xml:space="preserve"> datums un </w:t>
                  </w:r>
                  <w:proofErr w:type="spellStart"/>
                  <w:r w:rsidRPr="00EE53EE">
                    <w:rPr>
                      <w:b/>
                      <w:bCs/>
                    </w:rPr>
                    <w:t>laiks</w:t>
                  </w:r>
                  <w:proofErr w:type="spellEnd"/>
                </w:p>
              </w:tc>
              <w:tc>
                <w:tcPr>
                  <w:tcW w:w="0" w:type="auto"/>
                  <w:shd w:val="pct10" w:color="auto" w:fill="auto"/>
                </w:tcPr>
                <w:p w14:paraId="6153C8F9" w14:textId="5C7907C3" w:rsidR="00724584" w:rsidRPr="00EE53EE" w:rsidRDefault="00724584" w:rsidP="00724584">
                  <w:pPr>
                    <w:rPr>
                      <w:lang w:val="lv-LV"/>
                    </w:rPr>
                  </w:pPr>
                  <w:proofErr w:type="spellStart"/>
                  <w:r w:rsidRPr="00EE53EE">
                    <w:rPr>
                      <w:b/>
                    </w:rPr>
                    <w:t>Finanšu</w:t>
                  </w:r>
                  <w:proofErr w:type="spellEnd"/>
                  <w:r w:rsidRPr="00EE53EE">
                    <w:rPr>
                      <w:b/>
                    </w:rPr>
                    <w:t xml:space="preserve"> </w:t>
                  </w:r>
                  <w:proofErr w:type="spellStart"/>
                  <w:r w:rsidRPr="00EE53EE">
                    <w:rPr>
                      <w:b/>
                    </w:rPr>
                    <w:t>piedāvājums</w:t>
                  </w:r>
                  <w:proofErr w:type="spellEnd"/>
                  <w:r w:rsidRPr="00EE53EE">
                    <w:rPr>
                      <w:b/>
                    </w:rPr>
                    <w:t xml:space="preserve"> </w:t>
                  </w:r>
                  <w:proofErr w:type="spellStart"/>
                  <w:r w:rsidRPr="00EE53EE">
                    <w:rPr>
                      <w:b/>
                    </w:rPr>
                    <w:t>iepirkuma</w:t>
                  </w:r>
                  <w:proofErr w:type="spellEnd"/>
                  <w:r w:rsidRPr="00EE53EE">
                    <w:rPr>
                      <w:b/>
                    </w:rPr>
                    <w:t xml:space="preserve"> 2. </w:t>
                  </w:r>
                  <w:proofErr w:type="spellStart"/>
                  <w:r w:rsidRPr="00EE53EE">
                    <w:rPr>
                      <w:b/>
                    </w:rPr>
                    <w:t>daļā</w:t>
                  </w:r>
                  <w:proofErr w:type="spellEnd"/>
                </w:p>
              </w:tc>
            </w:tr>
            <w:tr w:rsidR="003F195F" w:rsidRPr="00EE53EE" w14:paraId="4E10A711" w14:textId="77777777" w:rsidTr="00735730">
              <w:tc>
                <w:tcPr>
                  <w:tcW w:w="0" w:type="auto"/>
                  <w:shd w:val="clear" w:color="auto" w:fill="auto"/>
                </w:tcPr>
                <w:p w14:paraId="25BD7A9C" w14:textId="2A2BA998" w:rsidR="00724584" w:rsidRPr="00EE53EE" w:rsidRDefault="00724584" w:rsidP="00724584">
                  <w:pPr>
                    <w:rPr>
                      <w:lang w:val="lv-LV"/>
                    </w:rPr>
                  </w:pPr>
                  <w:r w:rsidRPr="00EE53EE">
                    <w:t>"Nimaks" SIA</w:t>
                  </w:r>
                  <w:r w:rsidRPr="00EE53EE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71157E92" w14:textId="6815F951" w:rsidR="00724584" w:rsidRPr="00EE53EE" w:rsidRDefault="00724584" w:rsidP="00724584">
                  <w:pPr>
                    <w:rPr>
                      <w:lang w:val="lv-LV"/>
                    </w:rPr>
                  </w:pPr>
                  <w:r w:rsidRPr="00EE53EE">
                    <w:t xml:space="preserve">05.01.2022 </w:t>
                  </w:r>
                  <w:proofErr w:type="spellStart"/>
                  <w:r w:rsidRPr="00EE53EE">
                    <w:t>plkst</w:t>
                  </w:r>
                  <w:proofErr w:type="spellEnd"/>
                  <w:r w:rsidRPr="00EE53EE">
                    <w:t>. 17:30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2E0A951C" w14:textId="77777777" w:rsidR="00724584" w:rsidRPr="00EE53EE" w:rsidRDefault="00724584" w:rsidP="00724584">
                  <w:r w:rsidRPr="00EE53EE">
                    <w:t>EUR 78318.45</w:t>
                  </w:r>
                </w:p>
                <w:p w14:paraId="60A5A751" w14:textId="77777777" w:rsidR="00724584" w:rsidRPr="00EE53EE" w:rsidRDefault="00724584" w:rsidP="00724584">
                  <w:pPr>
                    <w:rPr>
                      <w:lang w:val="lv-LV"/>
                    </w:rPr>
                  </w:pPr>
                </w:p>
              </w:tc>
            </w:tr>
            <w:tr w:rsidR="003F195F" w:rsidRPr="00EE53EE" w14:paraId="3715A0B0" w14:textId="77777777" w:rsidTr="00735730">
              <w:tc>
                <w:tcPr>
                  <w:tcW w:w="0" w:type="auto"/>
                  <w:shd w:val="clear" w:color="auto" w:fill="auto"/>
                </w:tcPr>
                <w:p w14:paraId="71026578" w14:textId="6707103D" w:rsidR="00724584" w:rsidRPr="00EE53EE" w:rsidRDefault="00724584" w:rsidP="00724584">
                  <w:pPr>
                    <w:rPr>
                      <w:lang w:val="lv-LV"/>
                    </w:rPr>
                  </w:pPr>
                  <w:r w:rsidRPr="00EE53EE">
                    <w:t>"Sanitex" SIA</w:t>
                  </w:r>
                  <w:r w:rsidRPr="00EE53EE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03FBABAD" w14:textId="1506CF6D" w:rsidR="00724584" w:rsidRPr="00EE53EE" w:rsidRDefault="00724584" w:rsidP="00724584">
                  <w:pPr>
                    <w:rPr>
                      <w:lang w:val="lv-LV"/>
                    </w:rPr>
                  </w:pPr>
                  <w:r w:rsidRPr="00EE53EE">
                    <w:t xml:space="preserve">06.01.2022 </w:t>
                  </w:r>
                  <w:proofErr w:type="spellStart"/>
                  <w:r w:rsidRPr="00EE53EE">
                    <w:t>plkst</w:t>
                  </w:r>
                  <w:proofErr w:type="spellEnd"/>
                  <w:r w:rsidRPr="00EE53EE">
                    <w:t>. 09:31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41504537" w14:textId="77777777" w:rsidR="00724584" w:rsidRPr="00EE53EE" w:rsidRDefault="00724584" w:rsidP="00724584">
                  <w:r w:rsidRPr="00EE53EE">
                    <w:t>EUR 88287.72</w:t>
                  </w:r>
                </w:p>
                <w:p w14:paraId="68F5C1B8" w14:textId="77777777" w:rsidR="00724584" w:rsidRPr="00EE53EE" w:rsidRDefault="00724584" w:rsidP="00724584">
                  <w:pPr>
                    <w:rPr>
                      <w:lang w:val="lv-LV"/>
                    </w:rPr>
                  </w:pPr>
                </w:p>
              </w:tc>
            </w:tr>
          </w:tbl>
          <w:p w14:paraId="4E0AF491" w14:textId="081154E3" w:rsidR="009F76CA" w:rsidRPr="00EE53EE" w:rsidRDefault="009F76CA" w:rsidP="009F76CA">
            <w:pPr>
              <w:jc w:val="both"/>
              <w:rPr>
                <w:lang w:val="lv-LV"/>
              </w:rPr>
            </w:pPr>
          </w:p>
        </w:tc>
      </w:tr>
      <w:tr w:rsidR="003F195F" w:rsidRPr="00EE53EE" w14:paraId="7D677B7F" w14:textId="77777777" w:rsidTr="002D1C50">
        <w:tc>
          <w:tcPr>
            <w:tcW w:w="0" w:type="auto"/>
          </w:tcPr>
          <w:p w14:paraId="28AD83C2" w14:textId="77777777" w:rsidR="00266ECF" w:rsidRPr="00EE53EE" w:rsidRDefault="00266ECF" w:rsidP="002D1C50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Tā pretendenta nosaukums, kuram piešķirtas iepirkuma līguma slēgšanas tiesības, piedāvātā līgumcena, kā arī piedāvājumu izvērtēšanas kopsavilkums un piedāvājuma izvēles pamatojums</w:t>
            </w:r>
          </w:p>
        </w:tc>
        <w:tc>
          <w:tcPr>
            <w:tcW w:w="0" w:type="auto"/>
          </w:tcPr>
          <w:p w14:paraId="7323CA5C" w14:textId="612084FD" w:rsidR="009F76CA" w:rsidRPr="00EE53EE" w:rsidRDefault="00724584" w:rsidP="009F76CA">
            <w:pPr>
              <w:pStyle w:val="ListParagraph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9F76CA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="00453DE3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53DE3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l</w:t>
            </w:r>
            <w:r w:rsidR="000B676B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īguma slēgšanas tiesības</w:t>
            </w:r>
            <w:r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Iepirkuma 2.daļā</w:t>
            </w:r>
            <w:r w:rsidR="000B676B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piešķiras </w:t>
            </w:r>
            <w:r w:rsidR="009F76CA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SIA “Nimaks”, reģistrācijas Nr. 40003676101, ar līgumcenu </w:t>
            </w:r>
            <w:r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EUR 78 318.45 </w:t>
            </w:r>
            <w:r w:rsidR="009F76CA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septiņ</w:t>
            </w:r>
            <w:r w:rsidR="003D7D4A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desmit astoņi</w:t>
            </w:r>
            <w:r w:rsidR="009F76CA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tūkstoši </w:t>
            </w:r>
            <w:r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trīs</w:t>
            </w:r>
            <w:r w:rsidR="009F76CA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simti </w:t>
            </w:r>
            <w:r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asto</w:t>
            </w:r>
            <w:r w:rsidR="003D7D4A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ņpadsmit</w:t>
            </w:r>
            <w:r w:rsidR="009F76CA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9F76CA" w:rsidRPr="00EE53E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="009F76CA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9F76CA" w:rsidRPr="00EE53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 centi).</w:t>
            </w:r>
          </w:p>
          <w:p w14:paraId="379AC5D6" w14:textId="77777777" w:rsidR="00937276" w:rsidRPr="00EE53EE" w:rsidRDefault="00937276" w:rsidP="009F76CA">
            <w:pPr>
              <w:pStyle w:val="ListParagraph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323CF94" w14:textId="07BB697D" w:rsidR="00266ECF" w:rsidRPr="00EE53EE" w:rsidRDefault="005C2EA2" w:rsidP="000B676B">
            <w:pPr>
              <w:contextualSpacing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20</w:t>
            </w:r>
            <w:r w:rsidR="005B3F36" w:rsidRPr="00EE53EE">
              <w:rPr>
                <w:lang w:val="lv-LV"/>
              </w:rPr>
              <w:t xml:space="preserve">.01.2022. līguma slēgšanas tiesības Iepirkuma 1.daļā piešķiras SIA “Sanitex”, reģistrācijas Nr. 40003166842, ar līgumcenu EUR 153 059.82 (viens simts piecdesmit trīs tūkstoši </w:t>
            </w:r>
            <w:r w:rsidR="00BA7C09" w:rsidRPr="00EE53EE">
              <w:rPr>
                <w:lang w:val="lv-LV"/>
              </w:rPr>
              <w:t>piecde</w:t>
            </w:r>
            <w:r w:rsidR="005B3F36" w:rsidRPr="00EE53EE">
              <w:rPr>
                <w:lang w:val="lv-LV"/>
              </w:rPr>
              <w:t>smit</w:t>
            </w:r>
            <w:r w:rsidR="00BA7C09" w:rsidRPr="00EE53EE">
              <w:rPr>
                <w:lang w:val="lv-LV"/>
              </w:rPr>
              <w:t xml:space="preserve"> deviņi</w:t>
            </w:r>
            <w:r w:rsidR="005B3F36" w:rsidRPr="00EE53EE">
              <w:rPr>
                <w:lang w:val="lv-LV"/>
              </w:rPr>
              <w:t xml:space="preserve"> </w:t>
            </w:r>
            <w:proofErr w:type="spellStart"/>
            <w:r w:rsidR="005B3F36" w:rsidRPr="00EE53EE">
              <w:rPr>
                <w:lang w:val="lv-LV"/>
              </w:rPr>
              <w:t>euro</w:t>
            </w:r>
            <w:proofErr w:type="spellEnd"/>
            <w:r w:rsidR="005B3F36" w:rsidRPr="00EE53EE">
              <w:rPr>
                <w:lang w:val="lv-LV"/>
              </w:rPr>
              <w:t xml:space="preserve">, </w:t>
            </w:r>
            <w:r w:rsidR="00BA7C09" w:rsidRPr="00EE53EE">
              <w:rPr>
                <w:lang w:val="lv-LV"/>
              </w:rPr>
              <w:t>82</w:t>
            </w:r>
            <w:r w:rsidR="005B3F36" w:rsidRPr="00EE53EE">
              <w:rPr>
                <w:lang w:val="lv-LV"/>
              </w:rPr>
              <w:t xml:space="preserve"> centi)</w:t>
            </w:r>
            <w:r w:rsidR="003F195F" w:rsidRPr="00EE53EE">
              <w:rPr>
                <w:lang w:val="lv-LV"/>
              </w:rPr>
              <w:t>, tomēr 28.02.2022. no SIA “Sanitex” tika saņemta vēstule ar atteikumu slēgt līgumus, tāpēc Komisija 01.03.2022. pieņēma lēmumu pārtraukt Iepirkumu 1. daļā, neizvēloties nevienu piedāvājumu.</w:t>
            </w:r>
          </w:p>
          <w:p w14:paraId="0AF1E83F" w14:textId="5D2A8456" w:rsidR="00507C05" w:rsidRPr="00EE53EE" w:rsidRDefault="00507C05" w:rsidP="007F35B7">
            <w:pPr>
              <w:jc w:val="both"/>
              <w:rPr>
                <w:lang w:val="lv-LV"/>
              </w:rPr>
            </w:pPr>
          </w:p>
        </w:tc>
      </w:tr>
    </w:tbl>
    <w:p w14:paraId="50E6D40C" w14:textId="681C2DCA" w:rsidR="007F35B7" w:rsidRPr="00EE53EE" w:rsidRDefault="007F35B7" w:rsidP="007F35B7">
      <w:pPr>
        <w:jc w:val="both"/>
        <w:rPr>
          <w:lang w:val="lv-LV" w:eastAsia="ar-SA"/>
        </w:rPr>
      </w:pPr>
      <w:r w:rsidRPr="00EE53EE">
        <w:rPr>
          <w:lang w:val="lv-LV" w:eastAsia="ar-SA"/>
        </w:rPr>
        <w:t>Komisija no visiem kvalifikācijas un tehniskajām prasībām atbilstošiem piedāvājumiem izvēlējās saimnieciski visizdevīgāko piedāvājumu saskaņā ar kritērijiem, kas noteikti Nolikuma 5.6.5.punktā.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18"/>
        <w:gridCol w:w="1985"/>
        <w:gridCol w:w="1701"/>
        <w:gridCol w:w="1275"/>
        <w:gridCol w:w="1134"/>
        <w:gridCol w:w="1276"/>
      </w:tblGrid>
      <w:tr w:rsidR="00B24E98" w:rsidRPr="00EE53EE" w14:paraId="21A772E0" w14:textId="77777777" w:rsidTr="00B24E98">
        <w:tc>
          <w:tcPr>
            <w:tcW w:w="1800" w:type="dxa"/>
            <w:shd w:val="clear" w:color="auto" w:fill="auto"/>
          </w:tcPr>
          <w:p w14:paraId="4261B79C" w14:textId="77777777" w:rsidR="00B24E98" w:rsidRPr="00EE53EE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EE53EE">
              <w:rPr>
                <w:b/>
                <w:lang w:val="lv-LV" w:eastAsia="ar-SA"/>
              </w:rPr>
              <w:t>Pretendents</w:t>
            </w:r>
          </w:p>
        </w:tc>
        <w:tc>
          <w:tcPr>
            <w:tcW w:w="718" w:type="dxa"/>
            <w:shd w:val="clear" w:color="auto" w:fill="auto"/>
          </w:tcPr>
          <w:p w14:paraId="3E03F7F5" w14:textId="77777777" w:rsidR="00B24E98" w:rsidRPr="00EE53EE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EE53EE">
              <w:rPr>
                <w:b/>
                <w:lang w:val="lv-LV" w:eastAsia="ar-SA"/>
              </w:rPr>
              <w:t>Daļa</w:t>
            </w:r>
          </w:p>
          <w:p w14:paraId="39CDC10D" w14:textId="22358954" w:rsidR="00B24E98" w:rsidRPr="00EE53EE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EE53EE">
              <w:rPr>
                <w:b/>
                <w:lang w:val="lv-LV" w:eastAsia="ar-SA"/>
              </w:rPr>
              <w:t>Nr.</w:t>
            </w:r>
          </w:p>
        </w:tc>
        <w:tc>
          <w:tcPr>
            <w:tcW w:w="1985" w:type="dxa"/>
          </w:tcPr>
          <w:p w14:paraId="0EC493F8" w14:textId="6539CFED" w:rsidR="00B24E98" w:rsidRPr="00EE53EE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EE53EE">
              <w:rPr>
                <w:b/>
                <w:lang w:val="lv-LV" w:eastAsia="ar-SA"/>
              </w:rPr>
              <w:t>Piedāvāto BL</w:t>
            </w:r>
            <w:r w:rsidR="00463FBF" w:rsidRPr="00EE53EE">
              <w:rPr>
                <w:b/>
                <w:lang w:val="lv-LV" w:eastAsia="ar-SA"/>
              </w:rPr>
              <w:t>,</w:t>
            </w:r>
            <w:r w:rsidRPr="00EE53EE">
              <w:rPr>
                <w:b/>
                <w:lang w:val="lv-LV" w:eastAsia="ar-SA"/>
              </w:rPr>
              <w:t xml:space="preserve"> </w:t>
            </w:r>
            <w:r w:rsidR="00463FBF" w:rsidRPr="00EE53EE">
              <w:rPr>
                <w:b/>
                <w:lang w:val="lv-LV" w:eastAsia="ar-SA"/>
              </w:rPr>
              <w:t xml:space="preserve">NPKS </w:t>
            </w:r>
            <w:r w:rsidRPr="00EE53EE">
              <w:rPr>
                <w:b/>
                <w:lang w:val="lv-LV" w:eastAsia="ar-SA"/>
              </w:rPr>
              <w:t xml:space="preserve">vai </w:t>
            </w:r>
            <w:r w:rsidR="00463FBF" w:rsidRPr="00EE53EE">
              <w:rPr>
                <w:b/>
                <w:lang w:val="lv-LV" w:eastAsia="ar-SA"/>
              </w:rPr>
              <w:t xml:space="preserve">LPIA </w:t>
            </w:r>
            <w:r w:rsidRPr="00EE53EE">
              <w:rPr>
                <w:b/>
                <w:lang w:val="lv-LV" w:eastAsia="ar-SA"/>
              </w:rPr>
              <w:t xml:space="preserve">prasībām </w:t>
            </w:r>
            <w:r w:rsidRPr="00EE53EE">
              <w:rPr>
                <w:b/>
                <w:lang w:val="lv-LV" w:eastAsia="ar-SA"/>
              </w:rPr>
              <w:lastRenderedPageBreak/>
              <w:t>atbilstošo produktu skaits</w:t>
            </w:r>
          </w:p>
        </w:tc>
        <w:tc>
          <w:tcPr>
            <w:tcW w:w="1701" w:type="dxa"/>
            <w:shd w:val="clear" w:color="auto" w:fill="auto"/>
          </w:tcPr>
          <w:p w14:paraId="2573E059" w14:textId="5D33294F" w:rsidR="00B24E98" w:rsidRPr="00EE53EE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EE53EE">
              <w:rPr>
                <w:b/>
                <w:lang w:val="lv-LV" w:eastAsia="ar-SA"/>
              </w:rPr>
              <w:lastRenderedPageBreak/>
              <w:t>Punktu skaits 1.kritērijā “</w:t>
            </w:r>
            <w:r w:rsidRPr="00EE53EE">
              <w:rPr>
                <w:b/>
                <w:color w:val="000000"/>
                <w:lang w:val="lv-LV" w:eastAsia="lv-LV"/>
              </w:rPr>
              <w:t xml:space="preserve">Produktu </w:t>
            </w:r>
            <w:r w:rsidRPr="00EE53EE">
              <w:rPr>
                <w:b/>
                <w:color w:val="000000"/>
                <w:lang w:val="lv-LV" w:eastAsia="lv-LV"/>
              </w:rPr>
              <w:lastRenderedPageBreak/>
              <w:t>kvalitāte (K)”</w:t>
            </w:r>
          </w:p>
        </w:tc>
        <w:tc>
          <w:tcPr>
            <w:tcW w:w="1275" w:type="dxa"/>
            <w:shd w:val="clear" w:color="auto" w:fill="auto"/>
          </w:tcPr>
          <w:p w14:paraId="69727AE4" w14:textId="77777777" w:rsidR="00B24E98" w:rsidRPr="00EE53EE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EE53EE">
              <w:rPr>
                <w:b/>
                <w:lang w:val="lv-LV" w:eastAsia="ar-SA"/>
              </w:rPr>
              <w:lastRenderedPageBreak/>
              <w:t>Piedāvātā cena</w:t>
            </w:r>
          </w:p>
        </w:tc>
        <w:tc>
          <w:tcPr>
            <w:tcW w:w="1134" w:type="dxa"/>
            <w:shd w:val="clear" w:color="auto" w:fill="auto"/>
          </w:tcPr>
          <w:p w14:paraId="67E15E62" w14:textId="77777777" w:rsidR="00B24E98" w:rsidRPr="00EE53EE" w:rsidRDefault="00B24E98" w:rsidP="00796A9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u w:val="single"/>
                <w:lang w:val="lv-LV" w:eastAsia="lv-LV"/>
              </w:rPr>
            </w:pPr>
            <w:r w:rsidRPr="00EE53EE">
              <w:rPr>
                <w:b/>
                <w:lang w:val="lv-LV" w:eastAsia="ar-SA"/>
              </w:rPr>
              <w:t>Punktu skaits 2.kritēri</w:t>
            </w:r>
            <w:r w:rsidRPr="00EE53EE">
              <w:rPr>
                <w:b/>
                <w:lang w:val="lv-LV" w:eastAsia="ar-SA"/>
              </w:rPr>
              <w:lastRenderedPageBreak/>
              <w:t>jā “</w:t>
            </w:r>
            <w:r w:rsidRPr="00EE53EE">
              <w:rPr>
                <w:b/>
                <w:color w:val="000000"/>
                <w:lang w:val="lv-LV" w:eastAsia="lv-LV"/>
              </w:rPr>
              <w:t>Cena (C)”</w:t>
            </w:r>
          </w:p>
        </w:tc>
        <w:tc>
          <w:tcPr>
            <w:tcW w:w="1276" w:type="dxa"/>
            <w:shd w:val="clear" w:color="auto" w:fill="auto"/>
          </w:tcPr>
          <w:p w14:paraId="4BEEC279" w14:textId="77777777" w:rsidR="00B24E98" w:rsidRPr="00EE53EE" w:rsidRDefault="00B24E98" w:rsidP="00796A95">
            <w:pPr>
              <w:tabs>
                <w:tab w:val="left" w:pos="1418"/>
              </w:tabs>
              <w:suppressAutoHyphens/>
              <w:jc w:val="both"/>
              <w:rPr>
                <w:b/>
                <w:lang w:val="lv-LV" w:eastAsia="ar-SA"/>
              </w:rPr>
            </w:pPr>
            <w:r w:rsidRPr="00EE53EE">
              <w:rPr>
                <w:b/>
                <w:lang w:val="lv-LV" w:eastAsia="ar-SA"/>
              </w:rPr>
              <w:lastRenderedPageBreak/>
              <w:t>Punktu skaits kopā</w:t>
            </w:r>
          </w:p>
        </w:tc>
      </w:tr>
      <w:tr w:rsidR="00B24E98" w:rsidRPr="00EE53EE" w14:paraId="5E362D3B" w14:textId="77777777" w:rsidTr="00B24E9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C9D4" w14:textId="3AEF8E87" w:rsidR="00B24E98" w:rsidRPr="00EE53EE" w:rsidRDefault="00B24E98" w:rsidP="005B3F36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EE53EE">
              <w:t xml:space="preserve">"Nimaks" SIA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844F" w14:textId="133BA4E4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EE53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2885" w14:textId="229586EF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sz w:val="20"/>
                <w:szCs w:val="20"/>
              </w:rPr>
            </w:pPr>
            <w:r w:rsidRPr="00EE53EE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DB0AC" w14:textId="266D4386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EE53EE">
              <w:rPr>
                <w:sz w:val="20"/>
                <w:szCs w:val="20"/>
              </w:rPr>
              <w:t>52.50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BEEE" w14:textId="09B2D5C2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EE53EE">
              <w:rPr>
                <w:color w:val="000000"/>
                <w:sz w:val="20"/>
                <w:szCs w:val="20"/>
              </w:rPr>
              <w:t>142480.38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C8175" w14:textId="2CBF2348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EE53EE">
              <w:rPr>
                <w:sz w:val="20"/>
                <w:szCs w:val="20"/>
              </w:rPr>
              <w:t>40.00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4CE7" w14:textId="3BB956A6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lang w:val="lv-LV" w:eastAsia="ar-SA"/>
              </w:rPr>
            </w:pPr>
            <w:r w:rsidRPr="00EE53EE">
              <w:rPr>
                <w:color w:val="000000"/>
                <w:sz w:val="20"/>
                <w:szCs w:val="20"/>
              </w:rPr>
              <w:t>92.50</w:t>
            </w:r>
          </w:p>
        </w:tc>
      </w:tr>
      <w:tr w:rsidR="00B24E98" w:rsidRPr="00EE53EE" w14:paraId="635F1454" w14:textId="77777777" w:rsidTr="00B24E9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F721F40" w14:textId="72317C1E" w:rsidR="00B24E98" w:rsidRPr="00EE53EE" w:rsidRDefault="00B24E98" w:rsidP="005B3F36">
            <w:pPr>
              <w:tabs>
                <w:tab w:val="left" w:pos="1418"/>
              </w:tabs>
              <w:suppressAutoHyphens/>
              <w:jc w:val="both"/>
              <w:rPr>
                <w:bCs/>
                <w:lang w:val="lv-LV" w:eastAsia="ar-SA"/>
              </w:rPr>
            </w:pPr>
            <w:r w:rsidRPr="00EE53EE">
              <w:rPr>
                <w:b/>
                <w:bCs/>
              </w:rPr>
              <w:t>"Sanitex" SIA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CCE4" w14:textId="6F737B10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EE53E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0B3F9D" w14:textId="5D663692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E53E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21D39" w14:textId="2853630A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EE53EE">
              <w:rPr>
                <w:b/>
                <w:bCs/>
                <w:sz w:val="20"/>
                <w:szCs w:val="20"/>
              </w:rPr>
              <w:t>60.00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D7BE" w14:textId="503E01CF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EE53EE">
              <w:rPr>
                <w:b/>
                <w:bCs/>
                <w:color w:val="000000"/>
                <w:sz w:val="20"/>
                <w:szCs w:val="20"/>
              </w:rPr>
              <w:t>153059.82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C6B2B" w14:textId="75D8446D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EE53EE">
              <w:rPr>
                <w:b/>
                <w:bCs/>
                <w:sz w:val="20"/>
                <w:szCs w:val="20"/>
              </w:rPr>
              <w:t>37.24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0D9C" w14:textId="04C60ED3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lang w:val="lv-LV" w:eastAsia="ar-SA"/>
              </w:rPr>
            </w:pPr>
            <w:r w:rsidRPr="00EE53EE">
              <w:rPr>
                <w:b/>
                <w:bCs/>
                <w:color w:val="000000"/>
                <w:sz w:val="20"/>
                <w:szCs w:val="20"/>
              </w:rPr>
              <w:t>97.24</w:t>
            </w:r>
          </w:p>
        </w:tc>
      </w:tr>
      <w:tr w:rsidR="00B24E98" w:rsidRPr="00EE53EE" w14:paraId="2195BB83" w14:textId="77777777" w:rsidTr="00B24E98"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2170E83" w14:textId="3C4511DE" w:rsidR="00B24E98" w:rsidRPr="00EE53EE" w:rsidRDefault="00B24E98" w:rsidP="005B3F36">
            <w:pPr>
              <w:tabs>
                <w:tab w:val="left" w:pos="1418"/>
              </w:tabs>
              <w:suppressAutoHyphens/>
              <w:jc w:val="both"/>
              <w:rPr>
                <w:lang w:val="lv-LV" w:eastAsia="ar-SA"/>
              </w:rPr>
            </w:pPr>
            <w:r w:rsidRPr="00EE53EE">
              <w:t>"S.A.V." SIA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945B55" w14:textId="40CB51A2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EE53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83FF7A" w14:textId="35485E46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sz w:val="20"/>
                <w:szCs w:val="20"/>
              </w:rPr>
            </w:pPr>
            <w:r w:rsidRPr="00EE53EE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B809802" w14:textId="249440BB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EE53EE">
              <w:rPr>
                <w:sz w:val="20"/>
                <w:szCs w:val="20"/>
              </w:rPr>
              <w:t>52.50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4642F" w14:textId="3D3366A1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EE53EE">
              <w:rPr>
                <w:color w:val="000000"/>
                <w:sz w:val="20"/>
                <w:szCs w:val="20"/>
              </w:rPr>
              <w:t>148659.3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39448A7" w14:textId="77F50E3E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EE53EE">
              <w:rPr>
                <w:sz w:val="20"/>
                <w:szCs w:val="20"/>
              </w:rPr>
              <w:t>38.34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3DF99" w14:textId="0F3065F9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lang w:val="lv-LV" w:eastAsia="ar-SA"/>
              </w:rPr>
            </w:pPr>
            <w:r w:rsidRPr="00EE53EE">
              <w:rPr>
                <w:color w:val="000000"/>
                <w:sz w:val="20"/>
                <w:szCs w:val="20"/>
              </w:rPr>
              <w:t>90.84</w:t>
            </w:r>
          </w:p>
        </w:tc>
      </w:tr>
      <w:tr w:rsidR="00B24E98" w:rsidRPr="00EE53EE" w14:paraId="0B403F45" w14:textId="77777777" w:rsidTr="00B24E98"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9510" w14:textId="5307817A" w:rsidR="00B24E98" w:rsidRPr="00EE53EE" w:rsidRDefault="00B24E98" w:rsidP="005B3F36">
            <w:pPr>
              <w:tabs>
                <w:tab w:val="left" w:pos="1418"/>
              </w:tabs>
              <w:suppressAutoHyphens/>
              <w:jc w:val="both"/>
              <w:rPr>
                <w:lang w:val="lv-LV" w:eastAsia="ar-SA"/>
              </w:rPr>
            </w:pPr>
            <w:r w:rsidRPr="00EE53EE">
              <w:rPr>
                <w:b/>
                <w:bCs/>
              </w:rPr>
              <w:t xml:space="preserve">"Nimaks" SIA 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6021" w14:textId="61FF060D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EE53E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675" w14:textId="4DED3AA9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EE53E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2E993F" w14:textId="70ECD857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EE53EE">
              <w:rPr>
                <w:b/>
                <w:bCs/>
                <w:sz w:val="20"/>
                <w:szCs w:val="20"/>
              </w:rPr>
              <w:t>60.00</w:t>
            </w:r>
          </w:p>
        </w:tc>
        <w:tc>
          <w:tcPr>
            <w:tcW w:w="1275" w:type="dxa"/>
          </w:tcPr>
          <w:p w14:paraId="37B9D5C3" w14:textId="4EC4C844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EE53EE">
              <w:rPr>
                <w:b/>
                <w:bCs/>
                <w:color w:val="000000"/>
                <w:sz w:val="20"/>
                <w:szCs w:val="20"/>
              </w:rPr>
              <w:t>78318.45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A6571" w14:textId="6E43A521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Cs/>
                <w:lang w:val="lv-LV" w:eastAsia="ar-SA"/>
              </w:rPr>
            </w:pPr>
            <w:r w:rsidRPr="00EE53EE">
              <w:rPr>
                <w:b/>
                <w:bCs/>
                <w:sz w:val="20"/>
                <w:szCs w:val="20"/>
              </w:rPr>
              <w:t>40.00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8475" w14:textId="3422C751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b/>
                <w:bCs/>
                <w:lang w:val="lv-LV" w:eastAsia="ar-SA"/>
              </w:rPr>
            </w:pPr>
            <w:r w:rsidRPr="00EE53EE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</w:tr>
      <w:tr w:rsidR="00B24E98" w:rsidRPr="00EE53EE" w14:paraId="16061E21" w14:textId="77777777" w:rsidTr="00B24E9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E779" w14:textId="0F980DAC" w:rsidR="00B24E98" w:rsidRPr="00EE53EE" w:rsidRDefault="00B24E98" w:rsidP="005B3F36">
            <w:pPr>
              <w:tabs>
                <w:tab w:val="left" w:pos="1418"/>
              </w:tabs>
              <w:suppressAutoHyphens/>
              <w:jc w:val="both"/>
              <w:rPr>
                <w:lang w:val="lv-LV" w:eastAsia="ar-SA"/>
              </w:rPr>
            </w:pPr>
            <w:r w:rsidRPr="00EE53EE">
              <w:t>"Sanitex" SIA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E9A5" w14:textId="57513701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color w:val="000000"/>
              </w:rPr>
            </w:pPr>
            <w:r w:rsidRPr="00EE53E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10D" w14:textId="5073D4C5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sz w:val="20"/>
                <w:szCs w:val="20"/>
              </w:rPr>
            </w:pPr>
            <w:r w:rsidRPr="00EE53EE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B2CDE" w14:textId="7A4B8339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EE53EE">
              <w:rPr>
                <w:sz w:val="20"/>
                <w:szCs w:val="20"/>
              </w:rPr>
              <w:t>39.00</w:t>
            </w:r>
          </w:p>
        </w:tc>
        <w:tc>
          <w:tcPr>
            <w:tcW w:w="1275" w:type="dxa"/>
          </w:tcPr>
          <w:p w14:paraId="701516E3" w14:textId="354550A8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EE53EE">
              <w:rPr>
                <w:color w:val="000000"/>
                <w:sz w:val="20"/>
                <w:szCs w:val="20"/>
              </w:rPr>
              <w:t>88287.72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1C0549" w14:textId="3F341BE4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EE53EE">
              <w:rPr>
                <w:sz w:val="20"/>
                <w:szCs w:val="20"/>
              </w:rPr>
              <w:t>35.48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C76A" w14:textId="4D1ED205" w:rsidR="00B24E98" w:rsidRPr="00EE53EE" w:rsidRDefault="00B24E98" w:rsidP="005B3F36">
            <w:pPr>
              <w:tabs>
                <w:tab w:val="left" w:pos="1418"/>
              </w:tabs>
              <w:suppressAutoHyphens/>
              <w:jc w:val="center"/>
              <w:rPr>
                <w:lang w:val="lv-LV" w:eastAsia="ar-SA"/>
              </w:rPr>
            </w:pPr>
            <w:r w:rsidRPr="00EE53EE">
              <w:rPr>
                <w:color w:val="000000"/>
                <w:sz w:val="20"/>
                <w:szCs w:val="20"/>
              </w:rPr>
              <w:t>74.48</w:t>
            </w:r>
          </w:p>
        </w:tc>
      </w:tr>
    </w:tbl>
    <w:p w14:paraId="519BC1B1" w14:textId="77777777" w:rsidR="007F35B7" w:rsidRPr="00EE53EE" w:rsidRDefault="007F35B7" w:rsidP="007F35B7">
      <w:pPr>
        <w:tabs>
          <w:tab w:val="left" w:pos="1418"/>
        </w:tabs>
        <w:suppressAutoHyphens/>
        <w:jc w:val="both"/>
        <w:rPr>
          <w:bCs/>
          <w:lang w:val="lv-LV" w:eastAsia="ar-SA"/>
        </w:rPr>
      </w:pPr>
      <w:r w:rsidRPr="00EE53EE">
        <w:rPr>
          <w:bCs/>
          <w:lang w:val="lv-LV" w:eastAsia="ar-SA"/>
        </w:rPr>
        <w:t xml:space="preserve"> </w:t>
      </w:r>
    </w:p>
    <w:p w14:paraId="5F6281B5" w14:textId="77777777" w:rsidR="007F35B7" w:rsidRPr="00EE53EE" w:rsidRDefault="007F35B7" w:rsidP="007F35B7">
      <w:pPr>
        <w:tabs>
          <w:tab w:val="left" w:pos="1418"/>
        </w:tabs>
        <w:suppressAutoHyphens/>
        <w:jc w:val="both"/>
        <w:rPr>
          <w:u w:val="single"/>
          <w:lang w:val="lv-LV"/>
        </w:rPr>
      </w:pPr>
      <w:r w:rsidRPr="00EE53EE">
        <w:rPr>
          <w:bCs/>
          <w:lang w:val="lv-LV" w:eastAsia="ar-SA"/>
        </w:rPr>
        <w:t xml:space="preserve">Nolikuma 5.6.7. punkts nosaka, ka par saimnieciski visizdevīgāko Komisija atzīst piedāvājumu, kurš vērtēšanas rezultātā ieguvis visvairāk punktu. </w:t>
      </w:r>
    </w:p>
    <w:p w14:paraId="70871709" w14:textId="77777777" w:rsidR="00167020" w:rsidRPr="00EE53EE" w:rsidRDefault="007F35B7" w:rsidP="007F35B7">
      <w:pPr>
        <w:jc w:val="both"/>
        <w:rPr>
          <w:lang w:val="lv-LV" w:eastAsia="ar-SA"/>
        </w:rPr>
      </w:pPr>
      <w:r w:rsidRPr="00EE53EE">
        <w:rPr>
          <w:lang w:val="lv-LV" w:eastAsia="ar-SA"/>
        </w:rPr>
        <w:t xml:space="preserve">Līdz ar to par saimnieciski visizdevīgāko Komisija atzina piedāvājumu, </w:t>
      </w:r>
      <w:r w:rsidRPr="00EE53EE">
        <w:rPr>
          <w:bCs/>
          <w:lang w:val="lv-LV" w:eastAsia="ar-SA"/>
        </w:rPr>
        <w:t>kurš vērtēšanas rezultātā ieguvis visvairāk punktu</w:t>
      </w:r>
      <w:r w:rsidR="00167020" w:rsidRPr="00EE53EE">
        <w:rPr>
          <w:lang w:val="lv-LV" w:eastAsia="ar-SA"/>
        </w:rPr>
        <w:t>:</w:t>
      </w:r>
    </w:p>
    <w:p w14:paraId="6116F7DC" w14:textId="3227191C" w:rsidR="007F35B7" w:rsidRPr="00EE53EE" w:rsidRDefault="00167020" w:rsidP="00167020">
      <w:pPr>
        <w:pStyle w:val="Sarakstarindkopa"/>
        <w:numPr>
          <w:ilvl w:val="0"/>
          <w:numId w:val="12"/>
        </w:numPr>
        <w:jc w:val="both"/>
        <w:rPr>
          <w:lang w:val="lv-LV" w:eastAsia="ar-SA"/>
        </w:rPr>
      </w:pPr>
      <w:r w:rsidRPr="00EE53EE">
        <w:rPr>
          <w:lang w:val="lv-LV" w:eastAsia="ar-SA"/>
        </w:rPr>
        <w:t>Iepirkuma 1. daļā - SIA “Sanitex”;</w:t>
      </w:r>
    </w:p>
    <w:p w14:paraId="01E097C5" w14:textId="26FBB548" w:rsidR="00EC652B" w:rsidRPr="00EE53EE" w:rsidRDefault="00167020" w:rsidP="00167020">
      <w:pPr>
        <w:pStyle w:val="Sarakstarindkopa"/>
        <w:numPr>
          <w:ilvl w:val="0"/>
          <w:numId w:val="12"/>
        </w:numPr>
        <w:jc w:val="both"/>
        <w:rPr>
          <w:lang w:val="lv-LV"/>
        </w:rPr>
      </w:pPr>
      <w:r w:rsidRPr="00EE53EE">
        <w:rPr>
          <w:lang w:val="lv-LV"/>
        </w:rPr>
        <w:t>Iepirkuma 2. daļā - SIA “Nimaks”.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955"/>
        <w:gridCol w:w="4332"/>
      </w:tblGrid>
      <w:tr w:rsidR="007F35B7" w:rsidRPr="00EE53EE" w14:paraId="2D2E4EB3" w14:textId="77777777" w:rsidTr="00535E6B">
        <w:trPr>
          <w:trHeight w:val="144"/>
        </w:trPr>
        <w:tc>
          <w:tcPr>
            <w:tcW w:w="0" w:type="auto"/>
          </w:tcPr>
          <w:p w14:paraId="254F26F9" w14:textId="22C5F83E" w:rsidR="007F35B7" w:rsidRPr="00EE53EE" w:rsidRDefault="007F35B7" w:rsidP="00796A95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Informācija (ja tā ir zināma) par to iepirkuma līguma daļu, kuru izraudzītais pretendents plānojis nodot apakšuzņēmējiem, kā arī apakšuzņēmēju nosaukumi;</w:t>
            </w:r>
          </w:p>
        </w:tc>
        <w:tc>
          <w:tcPr>
            <w:tcW w:w="0" w:type="auto"/>
          </w:tcPr>
          <w:p w14:paraId="6896D48E" w14:textId="77777777" w:rsidR="007F35B7" w:rsidRPr="00EE53EE" w:rsidRDefault="007F35B7" w:rsidP="00796A95">
            <w:pPr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Nav zināma</w:t>
            </w:r>
          </w:p>
          <w:p w14:paraId="7D652AF7" w14:textId="77777777" w:rsidR="007F35B7" w:rsidRPr="00EE53EE" w:rsidRDefault="007F35B7" w:rsidP="00796A95">
            <w:pPr>
              <w:pStyle w:val="ListParagraph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F35B7" w:rsidRPr="00EE53EE" w14:paraId="62FAB32A" w14:textId="77777777" w:rsidTr="006C1DD5">
        <w:trPr>
          <w:trHeight w:val="1420"/>
        </w:trPr>
        <w:tc>
          <w:tcPr>
            <w:tcW w:w="0" w:type="auto"/>
          </w:tcPr>
          <w:p w14:paraId="374A4DBC" w14:textId="0CE06313" w:rsidR="006C1DD5" w:rsidRPr="00EE53EE" w:rsidRDefault="007F35B7" w:rsidP="006C1DD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Pamatojums lēmumam par katru noraidīto pretendentu, kā arī par katru iepirkuma procedūras dokumentiem neatbilstošu piedāvājumu</w:t>
            </w:r>
            <w:r w:rsidR="006C1DD5" w:rsidRPr="00EE53EE">
              <w:rPr>
                <w:lang w:val="lv-LV"/>
              </w:rPr>
              <w:t>:</w:t>
            </w:r>
          </w:p>
        </w:tc>
        <w:tc>
          <w:tcPr>
            <w:tcW w:w="0" w:type="auto"/>
          </w:tcPr>
          <w:p w14:paraId="37D0DEA8" w14:textId="292036BB" w:rsidR="007F35B7" w:rsidRPr="00EE53EE" w:rsidRDefault="00484E2F" w:rsidP="00535E6B">
            <w:pPr>
              <w:jc w:val="both"/>
              <w:rPr>
                <w:lang w:val="lv-LV" w:eastAsia="ar-SA"/>
              </w:rPr>
            </w:pPr>
            <w:r w:rsidRPr="00EE53EE">
              <w:rPr>
                <w:lang w:val="lv-LV" w:eastAsia="ar-SA"/>
              </w:rPr>
              <w:t>Nav attiecināms</w:t>
            </w:r>
          </w:p>
        </w:tc>
      </w:tr>
      <w:tr w:rsidR="007F35B7" w:rsidRPr="00EE53EE" w14:paraId="20F824FD" w14:textId="77777777" w:rsidTr="00796A95">
        <w:tc>
          <w:tcPr>
            <w:tcW w:w="0" w:type="auto"/>
          </w:tcPr>
          <w:p w14:paraId="46B82DD2" w14:textId="46012709" w:rsidR="007F35B7" w:rsidRPr="00EE53EE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 xml:space="preserve">Ja piedāvājumu iesniedzis tikai viens piegādātājs, – pamatojums iepirkuma procedūras nepārtraukšanai saskaņā ar </w:t>
            </w:r>
            <w:r w:rsidR="00AB0C0D" w:rsidRPr="00EE53EE">
              <w:rPr>
                <w:lang w:val="lv-LV"/>
              </w:rPr>
              <w:t>Ministru kabineta 28.02.2017.</w:t>
            </w:r>
            <w:r w:rsidRPr="00EE53EE">
              <w:rPr>
                <w:lang w:val="lv-LV"/>
              </w:rPr>
              <w:t xml:space="preserve"> noteikumu</w:t>
            </w:r>
            <w:r w:rsidR="00AB0C0D" w:rsidRPr="00EE53EE">
              <w:rPr>
                <w:lang w:val="lv-LV"/>
              </w:rPr>
              <w:t xml:space="preserve"> Nr. </w:t>
            </w:r>
            <w:r w:rsidR="00C82645" w:rsidRPr="00EE53EE">
              <w:rPr>
                <w:lang w:val="lv-LV"/>
              </w:rPr>
              <w:t>107 “Iepirkuma procedūru un metu konkursu norises kārtība”</w:t>
            </w:r>
            <w:r w:rsidRPr="00EE53EE">
              <w:rPr>
                <w:lang w:val="lv-LV"/>
              </w:rPr>
              <w:t xml:space="preserve"> 19. punktu.</w:t>
            </w:r>
          </w:p>
        </w:tc>
        <w:tc>
          <w:tcPr>
            <w:tcW w:w="0" w:type="auto"/>
          </w:tcPr>
          <w:p w14:paraId="22C2A9C8" w14:textId="77777777" w:rsidR="007F35B7" w:rsidRPr="00EE53EE" w:rsidRDefault="007F35B7" w:rsidP="00796A95">
            <w:pPr>
              <w:jc w:val="both"/>
              <w:rPr>
                <w:lang w:val="lv-LV" w:eastAsia="ar-SA"/>
              </w:rPr>
            </w:pPr>
            <w:r w:rsidRPr="00EE53EE">
              <w:rPr>
                <w:lang w:val="lv-LV"/>
              </w:rPr>
              <w:t>Nav attiecināms</w:t>
            </w:r>
          </w:p>
        </w:tc>
      </w:tr>
      <w:tr w:rsidR="007F35B7" w:rsidRPr="00EE53EE" w14:paraId="696D26FF" w14:textId="77777777" w:rsidTr="00796A95">
        <w:tc>
          <w:tcPr>
            <w:tcW w:w="0" w:type="auto"/>
          </w:tcPr>
          <w:p w14:paraId="6AAFD4C0" w14:textId="77777777" w:rsidR="007F35B7" w:rsidRPr="00EE53EE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0" w:type="auto"/>
          </w:tcPr>
          <w:p w14:paraId="2A8D6997" w14:textId="4774504D" w:rsidR="004432AA" w:rsidRPr="00EE53EE" w:rsidRDefault="004432AA" w:rsidP="004432AA">
            <w:pPr>
              <w:jc w:val="both"/>
              <w:rPr>
                <w:lang w:val="lv-LV" w:eastAsia="ar-SA"/>
              </w:rPr>
            </w:pPr>
            <w:r w:rsidRPr="00EE53EE">
              <w:rPr>
                <w:lang w:val="lv-LV" w:eastAsia="ar-SA"/>
              </w:rPr>
              <w:t>Komisija 01.03.2022. pieņēma lēmumu pārtraukt Iepirkumu 1. daļā, neizvēloties nevienu piedāvājumu.</w:t>
            </w:r>
          </w:p>
          <w:p w14:paraId="0E188DCA" w14:textId="4B8DA666" w:rsidR="004432AA" w:rsidRPr="00EE53EE" w:rsidRDefault="004432AA" w:rsidP="004432AA">
            <w:pPr>
              <w:jc w:val="both"/>
              <w:rPr>
                <w:lang w:val="lv-LV" w:eastAsia="ar-SA"/>
              </w:rPr>
            </w:pPr>
            <w:r w:rsidRPr="00EE53EE">
              <w:rPr>
                <w:lang w:val="lv-LV" w:eastAsia="ar-SA"/>
              </w:rPr>
              <w:t>Iepirkuma pārtraukšanas iemesls – pretendents SIA “Sanitex”, kuram Iepirkuma komisijas 20.01.2022. sēdē tika piešķiras Iepirkuma 1.daļas līguma slēgšanas tiesības, 28.02.2022. paziņoja par atteikumu slēgt līgumus.</w:t>
            </w:r>
          </w:p>
          <w:p w14:paraId="7681B798" w14:textId="5EE5CDA2" w:rsidR="004432AA" w:rsidRPr="00EE53EE" w:rsidRDefault="004432AA" w:rsidP="004432AA">
            <w:pPr>
              <w:jc w:val="both"/>
              <w:rPr>
                <w:lang w:val="lv-LV" w:eastAsia="ar-SA"/>
              </w:rPr>
            </w:pPr>
            <w:r w:rsidRPr="00EE53EE">
              <w:rPr>
                <w:lang w:val="lv-LV" w:eastAsia="ar-SA"/>
              </w:rPr>
              <w:t>Iepirkuma pārtraukšanas pamatojums – Ministru kabineta 28.02.2017. noteikumu Nr.107 “Iepirkuma procedūru un metu konkursu norises kārtība” 23. punkts.</w:t>
            </w:r>
          </w:p>
        </w:tc>
      </w:tr>
      <w:tr w:rsidR="007F35B7" w:rsidRPr="00EE53EE" w14:paraId="4763A763" w14:textId="77777777" w:rsidTr="00796A95">
        <w:tc>
          <w:tcPr>
            <w:tcW w:w="0" w:type="auto"/>
          </w:tcPr>
          <w:p w14:paraId="1B7DEA51" w14:textId="77777777" w:rsidR="007F35B7" w:rsidRPr="00EE53EE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0" w:type="auto"/>
          </w:tcPr>
          <w:p w14:paraId="4892EB8F" w14:textId="77777777" w:rsidR="007F35B7" w:rsidRPr="00EE53EE" w:rsidRDefault="007F35B7" w:rsidP="00796A95">
            <w:pPr>
              <w:jc w:val="both"/>
              <w:rPr>
                <w:lang w:val="lv-LV" w:eastAsia="ar-SA"/>
              </w:rPr>
            </w:pPr>
            <w:r w:rsidRPr="00EE53EE">
              <w:rPr>
                <w:lang w:val="lv-LV"/>
              </w:rPr>
              <w:t>Nav attiecināms</w:t>
            </w:r>
          </w:p>
        </w:tc>
      </w:tr>
      <w:tr w:rsidR="007F35B7" w:rsidRPr="00EE53EE" w14:paraId="204DCF2B" w14:textId="77777777" w:rsidTr="00796A95">
        <w:tc>
          <w:tcPr>
            <w:tcW w:w="0" w:type="auto"/>
          </w:tcPr>
          <w:p w14:paraId="55196405" w14:textId="77777777" w:rsidR="007F35B7" w:rsidRPr="00EE53EE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0" w:type="auto"/>
          </w:tcPr>
          <w:p w14:paraId="4A1EF29A" w14:textId="77777777" w:rsidR="007F35B7" w:rsidRPr="00EE53EE" w:rsidRDefault="007F35B7" w:rsidP="00796A95">
            <w:pPr>
              <w:jc w:val="both"/>
              <w:rPr>
                <w:lang w:val="lv-LV" w:eastAsia="ar-SA"/>
              </w:rPr>
            </w:pPr>
            <w:r w:rsidRPr="00EE53EE">
              <w:rPr>
                <w:lang w:val="lv-LV"/>
              </w:rPr>
              <w:t>Nav attiecināms</w:t>
            </w:r>
          </w:p>
        </w:tc>
      </w:tr>
      <w:tr w:rsidR="007F35B7" w:rsidRPr="00EE53EE" w14:paraId="0D12995D" w14:textId="77777777" w:rsidTr="00796A95">
        <w:tc>
          <w:tcPr>
            <w:tcW w:w="0" w:type="auto"/>
          </w:tcPr>
          <w:p w14:paraId="64117A90" w14:textId="77777777" w:rsidR="007F35B7" w:rsidRPr="00EE53EE" w:rsidRDefault="007F35B7" w:rsidP="00796A95">
            <w:pPr>
              <w:pStyle w:val="Sarakstarindkopa"/>
              <w:ind w:left="0"/>
              <w:jc w:val="both"/>
              <w:rPr>
                <w:lang w:val="lv-LV"/>
              </w:rPr>
            </w:pPr>
            <w:r w:rsidRPr="00EE53EE">
              <w:rPr>
                <w:lang w:val="lv-LV"/>
              </w:rPr>
              <w:t>Konstatētie interešu konflikti un pasākumi, kas veikti to novēršanai</w:t>
            </w:r>
          </w:p>
        </w:tc>
        <w:tc>
          <w:tcPr>
            <w:tcW w:w="0" w:type="auto"/>
          </w:tcPr>
          <w:p w14:paraId="0D97CD44" w14:textId="77777777" w:rsidR="007F35B7" w:rsidRPr="00EE53EE" w:rsidRDefault="007F35B7" w:rsidP="00796A95">
            <w:pPr>
              <w:pStyle w:val="tv21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E53EE">
              <w:rPr>
                <w:color w:val="000000" w:themeColor="text1"/>
              </w:rPr>
              <w:t>Nav konstatēti.</w:t>
            </w:r>
          </w:p>
          <w:p w14:paraId="13AA7336" w14:textId="77777777" w:rsidR="007F35B7" w:rsidRPr="00EE53EE" w:rsidRDefault="007F35B7" w:rsidP="00796A95">
            <w:pPr>
              <w:jc w:val="both"/>
              <w:rPr>
                <w:lang w:val="lv-LV" w:eastAsia="ar-SA"/>
              </w:rPr>
            </w:pPr>
            <w:r w:rsidRPr="00EE53EE">
              <w:rPr>
                <w:color w:val="000000" w:themeColor="text1"/>
                <w:lang w:val="lv-LV"/>
              </w:rPr>
              <w:t xml:space="preserve">Veiktas Publisko iepirkumu likuma III </w:t>
            </w:r>
            <w:r w:rsidRPr="00EE53EE">
              <w:rPr>
                <w:color w:val="000000" w:themeColor="text1"/>
                <w:lang w:val="lv-LV"/>
              </w:rPr>
              <w:lastRenderedPageBreak/>
              <w:t>nodaļā paredzētās procedūras</w:t>
            </w:r>
          </w:p>
        </w:tc>
      </w:tr>
    </w:tbl>
    <w:p w14:paraId="7F53F318" w14:textId="77777777" w:rsidR="007F35B7" w:rsidRPr="00EE53EE" w:rsidRDefault="007F35B7" w:rsidP="00A56E70">
      <w:pPr>
        <w:pStyle w:val="Sarakstarindkopa"/>
        <w:ind w:left="0"/>
        <w:jc w:val="both"/>
        <w:rPr>
          <w:lang w:val="lv-LV"/>
        </w:rPr>
      </w:pPr>
    </w:p>
    <w:p w14:paraId="2B8FAB7D" w14:textId="77777777" w:rsidR="007D4EAB" w:rsidRPr="00EE53EE" w:rsidRDefault="007D4EAB" w:rsidP="00360E60">
      <w:pPr>
        <w:jc w:val="both"/>
        <w:rPr>
          <w:rFonts w:eastAsia="Calibri"/>
          <w:lang w:val="lv-LV"/>
        </w:rPr>
      </w:pPr>
    </w:p>
    <w:p w14:paraId="41B2942E" w14:textId="4EB0A5CB" w:rsidR="0043602E" w:rsidRPr="00EE53EE" w:rsidRDefault="000B676B">
      <w:pPr>
        <w:rPr>
          <w:lang w:val="lv-LV"/>
        </w:rPr>
      </w:pPr>
      <w:r w:rsidRPr="00EE53EE">
        <w:rPr>
          <w:lang w:val="lv-LV"/>
        </w:rPr>
        <w:t>Komisijas priekšsēdētāja</w:t>
      </w:r>
      <w:r w:rsidR="00980031" w:rsidRPr="00EE53EE">
        <w:rPr>
          <w:lang w:val="lv-LV"/>
        </w:rPr>
        <w:t xml:space="preserve">                                  Kristīne Graudumniece</w:t>
      </w:r>
    </w:p>
    <w:p w14:paraId="7AEB8445" w14:textId="62BA9593" w:rsidR="00A56E70" w:rsidRPr="00EE53EE" w:rsidRDefault="00A56E70">
      <w:pPr>
        <w:rPr>
          <w:lang w:val="lv-LV"/>
        </w:rPr>
      </w:pPr>
    </w:p>
    <w:p w14:paraId="2B09114E" w14:textId="77777777" w:rsidR="001E10E2" w:rsidRPr="00EE53EE" w:rsidRDefault="001E10E2">
      <w:pPr>
        <w:rPr>
          <w:lang w:val="lv-LV"/>
        </w:rPr>
      </w:pPr>
    </w:p>
    <w:p w14:paraId="555FCF5E" w14:textId="2B2F0270" w:rsidR="00360E60" w:rsidRPr="000B676B" w:rsidRDefault="00360E60">
      <w:pPr>
        <w:rPr>
          <w:lang w:val="lv-LV"/>
        </w:rPr>
      </w:pPr>
      <w:r w:rsidRPr="00EE53EE">
        <w:rPr>
          <w:lang w:val="lv-LV"/>
        </w:rPr>
        <w:t>Goļatkina 67026784</w:t>
      </w:r>
    </w:p>
    <w:sectPr w:rsidR="00360E60" w:rsidRPr="000B676B" w:rsidSect="00535E6B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472F0" w14:textId="77777777" w:rsidR="00EC652B" w:rsidRDefault="00EC652B" w:rsidP="00EC652B">
      <w:r>
        <w:separator/>
      </w:r>
    </w:p>
  </w:endnote>
  <w:endnote w:type="continuationSeparator" w:id="0">
    <w:p w14:paraId="13C13C9C" w14:textId="77777777" w:rsidR="00EC652B" w:rsidRDefault="00EC652B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027460"/>
      <w:docPartObj>
        <w:docPartGallery w:val="Page Numbers (Bottom of Page)"/>
        <w:docPartUnique/>
      </w:docPartObj>
    </w:sdtPr>
    <w:sdtEndPr/>
    <w:sdtContent>
      <w:p w14:paraId="40DC727B" w14:textId="77777777"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4209D8A" w14:textId="77777777"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AA24" w14:textId="77777777" w:rsidR="00EC652B" w:rsidRDefault="00EC652B" w:rsidP="00EC652B">
      <w:r>
        <w:separator/>
      </w:r>
    </w:p>
  </w:footnote>
  <w:footnote w:type="continuationSeparator" w:id="0">
    <w:p w14:paraId="12FA6231" w14:textId="77777777" w:rsidR="00EC652B" w:rsidRDefault="00EC652B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472303"/>
    <w:multiLevelType w:val="hybridMultilevel"/>
    <w:tmpl w:val="8E280B8A"/>
    <w:lvl w:ilvl="0" w:tplc="3612D4C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00AFA72">
      <w:start w:val="16"/>
      <w:numFmt w:val="decimal"/>
      <w:lvlText w:val="%2"/>
      <w:lvlJc w:val="left"/>
      <w:pPr>
        <w:ind w:left="1140" w:hanging="360"/>
      </w:pPr>
      <w:rPr>
        <w:rFonts w:hint="default"/>
        <w:color w:val="000000"/>
      </w:r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B1B1A"/>
    <w:multiLevelType w:val="hybridMultilevel"/>
    <w:tmpl w:val="582CF0DE"/>
    <w:lvl w:ilvl="0" w:tplc="BC70BFFA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6E35"/>
    <w:multiLevelType w:val="multilevel"/>
    <w:tmpl w:val="B38A36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A20DC"/>
    <w:multiLevelType w:val="hybridMultilevel"/>
    <w:tmpl w:val="589CD920"/>
    <w:lvl w:ilvl="0" w:tplc="C6B47686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4" w:hanging="360"/>
      </w:pPr>
    </w:lvl>
    <w:lvl w:ilvl="2" w:tplc="0426001B" w:tentative="1">
      <w:start w:val="1"/>
      <w:numFmt w:val="lowerRoman"/>
      <w:lvlText w:val="%3."/>
      <w:lvlJc w:val="right"/>
      <w:pPr>
        <w:ind w:left="1884" w:hanging="180"/>
      </w:pPr>
    </w:lvl>
    <w:lvl w:ilvl="3" w:tplc="0426000F" w:tentative="1">
      <w:start w:val="1"/>
      <w:numFmt w:val="decimal"/>
      <w:lvlText w:val="%4."/>
      <w:lvlJc w:val="left"/>
      <w:pPr>
        <w:ind w:left="2604" w:hanging="360"/>
      </w:pPr>
    </w:lvl>
    <w:lvl w:ilvl="4" w:tplc="04260019" w:tentative="1">
      <w:start w:val="1"/>
      <w:numFmt w:val="lowerLetter"/>
      <w:lvlText w:val="%5."/>
      <w:lvlJc w:val="left"/>
      <w:pPr>
        <w:ind w:left="3324" w:hanging="360"/>
      </w:pPr>
    </w:lvl>
    <w:lvl w:ilvl="5" w:tplc="0426001B" w:tentative="1">
      <w:start w:val="1"/>
      <w:numFmt w:val="lowerRoman"/>
      <w:lvlText w:val="%6."/>
      <w:lvlJc w:val="right"/>
      <w:pPr>
        <w:ind w:left="4044" w:hanging="180"/>
      </w:pPr>
    </w:lvl>
    <w:lvl w:ilvl="6" w:tplc="0426000F" w:tentative="1">
      <w:start w:val="1"/>
      <w:numFmt w:val="decimal"/>
      <w:lvlText w:val="%7."/>
      <w:lvlJc w:val="left"/>
      <w:pPr>
        <w:ind w:left="4764" w:hanging="360"/>
      </w:pPr>
    </w:lvl>
    <w:lvl w:ilvl="7" w:tplc="04260019" w:tentative="1">
      <w:start w:val="1"/>
      <w:numFmt w:val="lowerLetter"/>
      <w:lvlText w:val="%8."/>
      <w:lvlJc w:val="left"/>
      <w:pPr>
        <w:ind w:left="5484" w:hanging="360"/>
      </w:pPr>
    </w:lvl>
    <w:lvl w:ilvl="8" w:tplc="042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 w15:restartNumberingAfterBreak="0">
    <w:nsid w:val="6C0B2B4B"/>
    <w:multiLevelType w:val="hybridMultilevel"/>
    <w:tmpl w:val="1910B8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1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0463E"/>
    <w:rsid w:val="0007139A"/>
    <w:rsid w:val="0009628C"/>
    <w:rsid w:val="000B676B"/>
    <w:rsid w:val="000D1737"/>
    <w:rsid w:val="00116BA7"/>
    <w:rsid w:val="00167020"/>
    <w:rsid w:val="001E10E2"/>
    <w:rsid w:val="00266ECF"/>
    <w:rsid w:val="002B4615"/>
    <w:rsid w:val="00356CD5"/>
    <w:rsid w:val="00360E60"/>
    <w:rsid w:val="003D7D4A"/>
    <w:rsid w:val="003F195F"/>
    <w:rsid w:val="00424646"/>
    <w:rsid w:val="00433CF7"/>
    <w:rsid w:val="004432AA"/>
    <w:rsid w:val="00443874"/>
    <w:rsid w:val="00453DE3"/>
    <w:rsid w:val="00463FBF"/>
    <w:rsid w:val="00465A00"/>
    <w:rsid w:val="00484E2F"/>
    <w:rsid w:val="004E48B3"/>
    <w:rsid w:val="00507C05"/>
    <w:rsid w:val="00535E6B"/>
    <w:rsid w:val="00576A93"/>
    <w:rsid w:val="00586F0B"/>
    <w:rsid w:val="005B3F36"/>
    <w:rsid w:val="005C2EA2"/>
    <w:rsid w:val="006C1DD5"/>
    <w:rsid w:val="0071585F"/>
    <w:rsid w:val="00724584"/>
    <w:rsid w:val="00755109"/>
    <w:rsid w:val="00780167"/>
    <w:rsid w:val="00790877"/>
    <w:rsid w:val="007D4EAB"/>
    <w:rsid w:val="007F35B7"/>
    <w:rsid w:val="008045DD"/>
    <w:rsid w:val="00817936"/>
    <w:rsid w:val="00861307"/>
    <w:rsid w:val="00937276"/>
    <w:rsid w:val="00980031"/>
    <w:rsid w:val="00995309"/>
    <w:rsid w:val="009C19E6"/>
    <w:rsid w:val="009F76CA"/>
    <w:rsid w:val="00A01FDF"/>
    <w:rsid w:val="00A42CAE"/>
    <w:rsid w:val="00A56E70"/>
    <w:rsid w:val="00A73E37"/>
    <w:rsid w:val="00A91653"/>
    <w:rsid w:val="00AB0C0D"/>
    <w:rsid w:val="00AE047F"/>
    <w:rsid w:val="00B144B2"/>
    <w:rsid w:val="00B20487"/>
    <w:rsid w:val="00B24E98"/>
    <w:rsid w:val="00B475CD"/>
    <w:rsid w:val="00B81A42"/>
    <w:rsid w:val="00BA7C09"/>
    <w:rsid w:val="00BE4B1A"/>
    <w:rsid w:val="00C43A1B"/>
    <w:rsid w:val="00C56007"/>
    <w:rsid w:val="00C82645"/>
    <w:rsid w:val="00CA3272"/>
    <w:rsid w:val="00D31771"/>
    <w:rsid w:val="00D8280E"/>
    <w:rsid w:val="00DB58E2"/>
    <w:rsid w:val="00DC745B"/>
    <w:rsid w:val="00E04200"/>
    <w:rsid w:val="00EB4153"/>
    <w:rsid w:val="00EB5121"/>
    <w:rsid w:val="00EC652B"/>
    <w:rsid w:val="00ED0353"/>
    <w:rsid w:val="00EE53EE"/>
    <w:rsid w:val="00EF76CF"/>
    <w:rsid w:val="00F50CD4"/>
    <w:rsid w:val="00F73890"/>
    <w:rsid w:val="00FC7B96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E68C6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Reatabula1">
    <w:name w:val="Režģa tabula1"/>
    <w:basedOn w:val="Parastatabula"/>
    <w:next w:val="Reatabula"/>
    <w:rsid w:val="000B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4">
    <w:name w:val="Font Style54"/>
    <w:uiPriority w:val="99"/>
    <w:rsid w:val="000B676B"/>
    <w:rPr>
      <w:rFonts w:ascii="Times New Roman" w:hAnsi="Times New Roman" w:cs="Times New Roman"/>
      <w:sz w:val="22"/>
      <w:szCs w:val="22"/>
    </w:rPr>
  </w:style>
  <w:style w:type="paragraph" w:styleId="Vresteksts">
    <w:name w:val="footnote text"/>
    <w:basedOn w:val="Parasts"/>
    <w:link w:val="VrestekstsRakstz"/>
    <w:uiPriority w:val="99"/>
    <w:unhideWhenUsed/>
    <w:rsid w:val="00EF76CF"/>
    <w:rPr>
      <w:rFonts w:eastAsia="Calibri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EF76CF"/>
    <w:rPr>
      <w:rFonts w:ascii="Times New Roman" w:eastAsia="Calibri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unhideWhenUsed/>
    <w:qFormat/>
    <w:rsid w:val="00EF76CF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14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626717-2021:TEXT:EN:HTML&amp;src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b.gov.lv/iubcpv/parent/473/clasif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4583</Words>
  <Characters>2613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Kristīne Graudumniece</dc:creator>
  <cp:lastModifiedBy>Anastasija Goļatkina</cp:lastModifiedBy>
  <cp:revision>3</cp:revision>
  <cp:lastPrinted>2020-05-19T15:06:00Z</cp:lastPrinted>
  <dcterms:created xsi:type="dcterms:W3CDTF">2022-03-02T15:00:00Z</dcterms:created>
  <dcterms:modified xsi:type="dcterms:W3CDTF">2022-03-03T13:16:00Z</dcterms:modified>
</cp:coreProperties>
</file>