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D49FD" w14:textId="77777777" w:rsidR="00821476" w:rsidRPr="00D609AA" w:rsidRDefault="00821476" w:rsidP="00821476">
      <w:pPr>
        <w:jc w:val="center"/>
        <w:rPr>
          <w:bCs/>
          <w:lang w:val="lv-LV"/>
        </w:rPr>
      </w:pPr>
      <w:r w:rsidRPr="00D609AA">
        <w:rPr>
          <w:bCs/>
          <w:lang w:val="lv-LV"/>
        </w:rPr>
        <w:t>Rīgas domes izglītības, kultūras un sporta departamenta</w:t>
      </w:r>
    </w:p>
    <w:p w14:paraId="50CC49DF" w14:textId="32F72217" w:rsidR="00821476" w:rsidRPr="00D609AA" w:rsidRDefault="00821476" w:rsidP="00821476">
      <w:pPr>
        <w:keepNext/>
        <w:jc w:val="center"/>
        <w:outlineLvl w:val="1"/>
        <w:rPr>
          <w:bCs/>
          <w:iCs/>
          <w:color w:val="000000"/>
          <w:szCs w:val="26"/>
          <w:lang w:val="lv-LV"/>
        </w:rPr>
      </w:pPr>
      <w:r w:rsidRPr="00D609AA">
        <w:rPr>
          <w:bCs/>
          <w:iCs/>
          <w:color w:val="000000"/>
          <w:szCs w:val="26"/>
          <w:lang w:val="lv-LV"/>
        </w:rPr>
        <w:t>sarunu procedūra</w:t>
      </w:r>
      <w:r w:rsidR="00995359" w:rsidRPr="00D609AA">
        <w:rPr>
          <w:bCs/>
          <w:iCs/>
          <w:color w:val="000000"/>
          <w:szCs w:val="26"/>
          <w:lang w:val="lv-LV"/>
        </w:rPr>
        <w:t>s</w:t>
      </w:r>
      <w:r w:rsidRPr="00D609AA">
        <w:rPr>
          <w:bCs/>
          <w:iCs/>
          <w:color w:val="000000"/>
          <w:szCs w:val="26"/>
          <w:lang w:val="lv-LV"/>
        </w:rPr>
        <w:t xml:space="preserve"> “</w:t>
      </w:r>
      <w:r w:rsidR="00A9718E" w:rsidRPr="00D609AA">
        <w:rPr>
          <w:bCs/>
          <w:iCs/>
          <w:color w:val="000000"/>
          <w:szCs w:val="26"/>
          <w:lang w:val="lv-LV"/>
        </w:rPr>
        <w:t>Kultūras pasākumu organizēšanas pakalpojumi Rīgas vasaras kultūras programmas īstenošanai 2022. gadā</w:t>
      </w:r>
      <w:r w:rsidRPr="00D609AA">
        <w:rPr>
          <w:bCs/>
          <w:iCs/>
          <w:color w:val="000000"/>
          <w:szCs w:val="26"/>
          <w:lang w:val="lv-LV"/>
        </w:rPr>
        <w:t>”</w:t>
      </w:r>
    </w:p>
    <w:p w14:paraId="7725DB8C" w14:textId="642A0D04" w:rsidR="007D4EAB" w:rsidRPr="00D609AA" w:rsidRDefault="0007139A" w:rsidP="00BD576B">
      <w:pPr>
        <w:jc w:val="center"/>
        <w:rPr>
          <w:b/>
          <w:bCs/>
          <w:lang w:val="lv-LV"/>
        </w:rPr>
      </w:pPr>
      <w:r w:rsidRPr="00D609AA">
        <w:rPr>
          <w:b/>
          <w:bCs/>
          <w:lang w:val="lv-LV"/>
        </w:rPr>
        <w:t>ZIŅOJUMS</w:t>
      </w:r>
    </w:p>
    <w:p w14:paraId="02647D54" w14:textId="09102C48" w:rsidR="007D4EAB" w:rsidRPr="00D609AA" w:rsidRDefault="007D4EAB" w:rsidP="007D4EAB">
      <w:pPr>
        <w:jc w:val="both"/>
        <w:rPr>
          <w:szCs w:val="26"/>
          <w:lang w:val="lv-LV" w:eastAsia="ar-SA"/>
        </w:rPr>
      </w:pPr>
      <w:r w:rsidRPr="00D609AA">
        <w:rPr>
          <w:szCs w:val="26"/>
          <w:lang w:val="lv-LV" w:eastAsia="ar-SA"/>
        </w:rPr>
        <w:t xml:space="preserve">Rīgā, </w:t>
      </w:r>
      <w:r w:rsidR="00A9718E" w:rsidRPr="00D609AA">
        <w:rPr>
          <w:szCs w:val="26"/>
          <w:lang w:val="lv-LV" w:eastAsia="ar-SA"/>
        </w:rPr>
        <w:t>13</w:t>
      </w:r>
      <w:r w:rsidR="00821476" w:rsidRPr="00D609AA">
        <w:rPr>
          <w:szCs w:val="26"/>
          <w:lang w:val="lv-LV" w:eastAsia="ar-SA"/>
        </w:rPr>
        <w:t>.</w:t>
      </w:r>
      <w:r w:rsidR="00A9718E" w:rsidRPr="00D609AA">
        <w:rPr>
          <w:szCs w:val="26"/>
          <w:lang w:val="lv-LV" w:eastAsia="ar-SA"/>
        </w:rPr>
        <w:t>07</w:t>
      </w:r>
      <w:r w:rsidR="00DF6B41" w:rsidRPr="00D609AA">
        <w:rPr>
          <w:szCs w:val="26"/>
          <w:lang w:val="lv-LV" w:eastAsia="ar-SA"/>
        </w:rPr>
        <w:t>.202</w:t>
      </w:r>
      <w:r w:rsidR="00A9718E" w:rsidRPr="00D609AA">
        <w:rPr>
          <w:szCs w:val="26"/>
          <w:lang w:val="lv-LV" w:eastAsia="ar-SA"/>
        </w:rPr>
        <w:t>2</w:t>
      </w:r>
      <w:r w:rsidRPr="00D609AA">
        <w:rPr>
          <w:szCs w:val="26"/>
          <w:lang w:val="lv-LV" w:eastAsia="ar-SA"/>
        </w:rPr>
        <w:t>.</w:t>
      </w:r>
    </w:p>
    <w:tbl>
      <w:tblPr>
        <w:tblStyle w:val="Reatabula"/>
        <w:tblW w:w="0" w:type="auto"/>
        <w:tblLook w:val="04A0" w:firstRow="1" w:lastRow="0" w:firstColumn="1" w:lastColumn="0" w:noHBand="0" w:noVBand="1"/>
      </w:tblPr>
      <w:tblGrid>
        <w:gridCol w:w="2066"/>
        <w:gridCol w:w="7221"/>
      </w:tblGrid>
      <w:tr w:rsidR="007D4EAB" w:rsidRPr="00D609AA" w14:paraId="36C9AC56" w14:textId="77777777" w:rsidTr="00995309">
        <w:tc>
          <w:tcPr>
            <w:tcW w:w="0" w:type="auto"/>
          </w:tcPr>
          <w:p w14:paraId="6428AF8B" w14:textId="77777777" w:rsidR="007D4EAB" w:rsidRPr="00D609AA" w:rsidRDefault="00116BA7" w:rsidP="007D4EAB">
            <w:pPr>
              <w:jc w:val="both"/>
              <w:rPr>
                <w:szCs w:val="26"/>
                <w:lang w:val="lv-LV" w:eastAsia="ar-SA"/>
              </w:rPr>
            </w:pPr>
            <w:r w:rsidRPr="00D609AA">
              <w:rPr>
                <w:color w:val="000000"/>
                <w:szCs w:val="26"/>
                <w:lang w:val="lv-LV" w:eastAsia="ar-SA"/>
              </w:rPr>
              <w:t>Pasūtītājs</w:t>
            </w:r>
          </w:p>
        </w:tc>
        <w:tc>
          <w:tcPr>
            <w:tcW w:w="0" w:type="auto"/>
          </w:tcPr>
          <w:p w14:paraId="07E351E6" w14:textId="6B013413" w:rsidR="007D4EAB" w:rsidRPr="00D609AA" w:rsidRDefault="00116BA7" w:rsidP="007D4EAB">
            <w:pPr>
              <w:jc w:val="both"/>
              <w:rPr>
                <w:szCs w:val="26"/>
                <w:lang w:val="lv-LV" w:eastAsia="ar-SA"/>
              </w:rPr>
            </w:pPr>
            <w:r w:rsidRPr="00D609AA">
              <w:rPr>
                <w:color w:val="000000"/>
                <w:szCs w:val="26"/>
                <w:lang w:val="lv-LV" w:eastAsia="ar-SA"/>
              </w:rPr>
              <w:t>Rīgas domes Izglītības, kultūras un sporta departaments</w:t>
            </w:r>
            <w:r w:rsidR="00120CC4" w:rsidRPr="00D609AA">
              <w:rPr>
                <w:color w:val="000000"/>
                <w:szCs w:val="26"/>
                <w:lang w:val="lv-LV" w:eastAsia="ar-SA"/>
              </w:rPr>
              <w:t xml:space="preserve"> (turpmāk – Departaments)</w:t>
            </w:r>
            <w:r w:rsidRPr="00D609AA">
              <w:rPr>
                <w:color w:val="000000"/>
                <w:szCs w:val="26"/>
                <w:lang w:val="lv-LV" w:eastAsia="ar-SA"/>
              </w:rPr>
              <w:t xml:space="preserve"> (adrese: Krišjāņa Valdemāra ielā 5, Rīgā, LV-1010, RD iestādes kods: 210) ir Rīgas </w:t>
            </w:r>
            <w:proofErr w:type="spellStart"/>
            <w:r w:rsidR="00A9718E" w:rsidRPr="00D609AA">
              <w:rPr>
                <w:color w:val="000000"/>
                <w:szCs w:val="26"/>
                <w:lang w:val="lv-LV" w:eastAsia="ar-SA"/>
              </w:rPr>
              <w:t>valsts</w:t>
            </w:r>
            <w:r w:rsidRPr="00D609AA">
              <w:rPr>
                <w:color w:val="000000"/>
                <w:szCs w:val="26"/>
                <w:lang w:val="lv-LV" w:eastAsia="ar-SA"/>
              </w:rPr>
              <w:t>pilsētas</w:t>
            </w:r>
            <w:proofErr w:type="spellEnd"/>
            <w:r w:rsidRPr="00D609AA">
              <w:rPr>
                <w:color w:val="000000"/>
                <w:szCs w:val="26"/>
                <w:lang w:val="lv-LV" w:eastAsia="ar-SA"/>
              </w:rPr>
              <w:t xml:space="preserve"> pašvaldības (adrese: Rātslaukums 1, Rīga, LV-1050, NMR kods: 90011524360, PVN </w:t>
            </w:r>
            <w:proofErr w:type="spellStart"/>
            <w:r w:rsidRPr="00D609AA">
              <w:rPr>
                <w:color w:val="000000"/>
                <w:szCs w:val="26"/>
                <w:lang w:val="lv-LV" w:eastAsia="ar-SA"/>
              </w:rPr>
              <w:t>reģ.Nr</w:t>
            </w:r>
            <w:proofErr w:type="spellEnd"/>
            <w:r w:rsidRPr="00D609AA">
              <w:rPr>
                <w:color w:val="000000"/>
                <w:szCs w:val="26"/>
                <w:lang w:val="lv-LV" w:eastAsia="ar-SA"/>
              </w:rPr>
              <w:t>.: LV90011524360) struktūrvienība</w:t>
            </w:r>
          </w:p>
        </w:tc>
      </w:tr>
      <w:tr w:rsidR="007D4EAB" w:rsidRPr="00D609AA" w14:paraId="13445AB6" w14:textId="77777777" w:rsidTr="00995309">
        <w:tc>
          <w:tcPr>
            <w:tcW w:w="0" w:type="auto"/>
          </w:tcPr>
          <w:p w14:paraId="71E53987" w14:textId="77777777" w:rsidR="007D4EAB" w:rsidRPr="00D609AA" w:rsidRDefault="0007139A" w:rsidP="007D4EAB">
            <w:pPr>
              <w:jc w:val="both"/>
              <w:rPr>
                <w:szCs w:val="26"/>
                <w:lang w:val="lv-LV" w:eastAsia="ar-SA"/>
              </w:rPr>
            </w:pPr>
            <w:r w:rsidRPr="00D609AA">
              <w:rPr>
                <w:rFonts w:cs="Arial"/>
                <w:lang w:val="lv-LV"/>
              </w:rPr>
              <w:t>I</w:t>
            </w:r>
            <w:r w:rsidR="00116BA7" w:rsidRPr="00D609AA">
              <w:rPr>
                <w:rFonts w:cs="Arial"/>
                <w:lang w:val="lv-LV"/>
              </w:rPr>
              <w:t>epirkuma identifikācijas numurs</w:t>
            </w:r>
          </w:p>
        </w:tc>
        <w:tc>
          <w:tcPr>
            <w:tcW w:w="0" w:type="auto"/>
          </w:tcPr>
          <w:p w14:paraId="01DCEB87" w14:textId="01C58672" w:rsidR="007D4EAB" w:rsidRPr="00D609AA" w:rsidRDefault="00116BA7" w:rsidP="007D4EAB">
            <w:pPr>
              <w:jc w:val="both"/>
              <w:rPr>
                <w:szCs w:val="26"/>
                <w:lang w:val="lv-LV" w:eastAsia="ar-SA"/>
              </w:rPr>
            </w:pPr>
            <w:r w:rsidRPr="00D609AA">
              <w:rPr>
                <w:color w:val="000000"/>
                <w:szCs w:val="26"/>
                <w:lang w:val="lv-LV" w:eastAsia="ar-SA"/>
              </w:rPr>
              <w:t>RD IKSD 202</w:t>
            </w:r>
            <w:r w:rsidR="00F55A3E" w:rsidRPr="00D609AA">
              <w:rPr>
                <w:color w:val="000000"/>
                <w:szCs w:val="26"/>
                <w:lang w:val="lv-LV" w:eastAsia="ar-SA"/>
              </w:rPr>
              <w:t>2</w:t>
            </w:r>
            <w:r w:rsidRPr="00D609AA">
              <w:rPr>
                <w:color w:val="000000"/>
                <w:szCs w:val="26"/>
                <w:lang w:val="lv-LV" w:eastAsia="ar-SA"/>
              </w:rPr>
              <w:t>/</w:t>
            </w:r>
            <w:r w:rsidR="00F55A3E" w:rsidRPr="00D609AA">
              <w:rPr>
                <w:color w:val="000000"/>
                <w:szCs w:val="26"/>
                <w:lang w:val="lv-LV" w:eastAsia="ar-SA"/>
              </w:rPr>
              <w:t>9</w:t>
            </w:r>
          </w:p>
        </w:tc>
      </w:tr>
      <w:tr w:rsidR="007D4EAB" w:rsidRPr="00D609AA" w14:paraId="7B9B432E" w14:textId="77777777" w:rsidTr="00995309">
        <w:tc>
          <w:tcPr>
            <w:tcW w:w="0" w:type="auto"/>
          </w:tcPr>
          <w:p w14:paraId="4058A23B" w14:textId="77777777" w:rsidR="007D4EAB" w:rsidRPr="00D609AA" w:rsidRDefault="0007139A" w:rsidP="007D4EAB">
            <w:pPr>
              <w:jc w:val="both"/>
              <w:rPr>
                <w:szCs w:val="26"/>
                <w:lang w:val="lv-LV" w:eastAsia="ar-SA"/>
              </w:rPr>
            </w:pPr>
            <w:r w:rsidRPr="00D609AA">
              <w:rPr>
                <w:rFonts w:cs="Arial"/>
                <w:lang w:val="lv-LV"/>
              </w:rPr>
              <w:t>I</w:t>
            </w:r>
            <w:r w:rsidR="00116BA7" w:rsidRPr="00D609AA">
              <w:rPr>
                <w:rFonts w:cs="Arial"/>
                <w:lang w:val="lv-LV"/>
              </w:rPr>
              <w:t>epirkuma procedūras veids</w:t>
            </w:r>
          </w:p>
        </w:tc>
        <w:tc>
          <w:tcPr>
            <w:tcW w:w="0" w:type="auto"/>
          </w:tcPr>
          <w:p w14:paraId="23547F10" w14:textId="547C4A5E" w:rsidR="007D4EAB" w:rsidRPr="00D609AA" w:rsidRDefault="00116BA7" w:rsidP="007D4EAB">
            <w:pPr>
              <w:jc w:val="both"/>
              <w:rPr>
                <w:szCs w:val="26"/>
                <w:lang w:val="lv-LV" w:eastAsia="ar-SA"/>
              </w:rPr>
            </w:pPr>
            <w:r w:rsidRPr="00D609AA">
              <w:rPr>
                <w:color w:val="000000"/>
                <w:szCs w:val="26"/>
                <w:lang w:val="lv-LV" w:eastAsia="ar-SA"/>
              </w:rPr>
              <w:t>Publisko iepirkumu likuma (turpmāk – PIL) 8.panta pirmās daļas 6</w:t>
            </w:r>
            <w:r w:rsidR="00821476" w:rsidRPr="00D609AA">
              <w:rPr>
                <w:color w:val="000000"/>
                <w:szCs w:val="26"/>
                <w:lang w:val="lv-LV" w:eastAsia="ar-SA"/>
              </w:rPr>
              <w:t>)</w:t>
            </w:r>
            <w:r w:rsidRPr="00D609AA">
              <w:rPr>
                <w:color w:val="000000"/>
                <w:szCs w:val="26"/>
                <w:lang w:val="lv-LV" w:eastAsia="ar-SA"/>
              </w:rPr>
              <w:t>punk</w:t>
            </w:r>
            <w:r w:rsidR="00821476" w:rsidRPr="00D609AA">
              <w:rPr>
                <w:color w:val="000000"/>
                <w:szCs w:val="26"/>
                <w:lang w:val="lv-LV" w:eastAsia="ar-SA"/>
              </w:rPr>
              <w:t>tā</w:t>
            </w:r>
            <w:r w:rsidRPr="00D609AA">
              <w:rPr>
                <w:color w:val="000000"/>
                <w:szCs w:val="26"/>
                <w:lang w:val="lv-LV" w:eastAsia="ar-SA"/>
              </w:rPr>
              <w:t xml:space="preserve"> noteiktā sarunu procedūra</w:t>
            </w:r>
          </w:p>
        </w:tc>
      </w:tr>
      <w:tr w:rsidR="007D4EAB" w:rsidRPr="00D609AA" w14:paraId="71777AE4" w14:textId="77777777" w:rsidTr="00995309">
        <w:tc>
          <w:tcPr>
            <w:tcW w:w="0" w:type="auto"/>
          </w:tcPr>
          <w:p w14:paraId="0E6D28A9" w14:textId="77777777" w:rsidR="007D4EAB" w:rsidRPr="00D609AA" w:rsidRDefault="00116BA7" w:rsidP="007D4EAB">
            <w:pPr>
              <w:jc w:val="both"/>
              <w:rPr>
                <w:szCs w:val="26"/>
                <w:lang w:val="lv-LV" w:eastAsia="ar-SA"/>
              </w:rPr>
            </w:pPr>
            <w:r w:rsidRPr="00D609AA">
              <w:rPr>
                <w:rFonts w:cs="Arial"/>
                <w:lang w:val="lv-LV"/>
              </w:rPr>
              <w:t xml:space="preserve">Sarunu procedūras izvēles pamatojums saskaņā ar </w:t>
            </w:r>
            <w:hyperlink r:id="rId8" w:tgtFrame="_blank" w:history="1">
              <w:r w:rsidRPr="00D609AA">
                <w:rPr>
                  <w:rFonts w:cs="Arial"/>
                  <w:lang w:val="lv-LV"/>
                </w:rPr>
                <w:t>Publisko iepirkumu likuma</w:t>
              </w:r>
            </w:hyperlink>
            <w:r w:rsidRPr="00D609AA">
              <w:rPr>
                <w:rFonts w:cs="Arial"/>
                <w:lang w:val="lv-LV"/>
              </w:rPr>
              <w:t xml:space="preserve"> </w:t>
            </w:r>
            <w:hyperlink r:id="rId9" w:anchor="p8" w:tgtFrame="_blank" w:history="1">
              <w:r w:rsidRPr="00D609AA">
                <w:rPr>
                  <w:rFonts w:cs="Arial"/>
                  <w:lang w:val="lv-LV"/>
                </w:rPr>
                <w:t>8. panta</w:t>
              </w:r>
            </w:hyperlink>
            <w:r w:rsidRPr="00D609AA">
              <w:rPr>
                <w:rFonts w:cs="Arial"/>
                <w:lang w:val="lv-LV"/>
              </w:rPr>
              <w:t xml:space="preserve"> septītās daļas punktu</w:t>
            </w:r>
          </w:p>
        </w:tc>
        <w:tc>
          <w:tcPr>
            <w:tcW w:w="0" w:type="auto"/>
          </w:tcPr>
          <w:p w14:paraId="0CBD9312" w14:textId="77777777" w:rsidR="0007139A" w:rsidRPr="00D609AA" w:rsidRDefault="008045DD" w:rsidP="00DF6B41">
            <w:pPr>
              <w:jc w:val="both"/>
              <w:rPr>
                <w:rFonts w:eastAsia="Calibri"/>
                <w:lang w:val="lv-LV"/>
              </w:rPr>
            </w:pPr>
            <w:r w:rsidRPr="00D609AA">
              <w:rPr>
                <w:rFonts w:eastAsia="Calibri"/>
                <w:lang w:val="lv-LV"/>
              </w:rPr>
              <w:t xml:space="preserve">Saskaņā ar PIL 1.panta 30.punktu sarunu procedūra ir iepirkuma procedūra, kurā pasūtītājs, iepriekš nepublicējot paziņojumu par līgumu, apspriežas ar paša izraudzītiem piegādātājiem un ar vienu vai vairākiem no viņiem rīko sarunas par iepirkuma līguma noteikumiem. </w:t>
            </w:r>
          </w:p>
          <w:p w14:paraId="5FBFCB71" w14:textId="77777777" w:rsidR="0007139A" w:rsidRPr="00D609AA" w:rsidRDefault="0007139A" w:rsidP="00DF6B41">
            <w:pPr>
              <w:jc w:val="both"/>
              <w:rPr>
                <w:rFonts w:eastAsia="Calibri"/>
                <w:lang w:val="lv-LV"/>
              </w:rPr>
            </w:pPr>
          </w:p>
          <w:p w14:paraId="5BEC86D7" w14:textId="77777777" w:rsidR="008045DD" w:rsidRPr="00D609AA" w:rsidRDefault="008045DD" w:rsidP="00DF6B41">
            <w:pPr>
              <w:jc w:val="both"/>
              <w:rPr>
                <w:szCs w:val="26"/>
                <w:lang w:val="lv-LV" w:eastAsia="ar-SA"/>
              </w:rPr>
            </w:pPr>
            <w:r w:rsidRPr="00D609AA">
              <w:rPr>
                <w:lang w:val="lv-LV" w:eastAsia="ar-SA"/>
              </w:rPr>
              <w:t xml:space="preserve">Saskaņā ar Ministru </w:t>
            </w:r>
            <w:r w:rsidRPr="00D609AA">
              <w:rPr>
                <w:szCs w:val="26"/>
                <w:lang w:val="lv-LV" w:eastAsia="ar-SA"/>
              </w:rPr>
              <w:t>kabineta 28.02.2017. noteikumu Nr.107 “Iepirkuma procedūru un metu konkursu norises kārtība” 178.punktu pasūtītājs uzaicina uz sarunām paša izraudzītus piegādātājus un ar vienu vai vairākiem no viņiem rīko sarunas par iepirkuma līguma vai vispārīgās vienošanās noteikumiem.</w:t>
            </w:r>
          </w:p>
          <w:p w14:paraId="1BFDC950" w14:textId="77777777" w:rsidR="008045DD" w:rsidRPr="00D609AA" w:rsidRDefault="008045DD" w:rsidP="00DF6B41">
            <w:pPr>
              <w:contextualSpacing/>
              <w:jc w:val="both"/>
              <w:rPr>
                <w:bCs/>
                <w:szCs w:val="26"/>
                <w:lang w:val="lv-LV"/>
              </w:rPr>
            </w:pPr>
          </w:p>
          <w:p w14:paraId="6539B23B" w14:textId="0476BA1F" w:rsidR="007D4EAB" w:rsidRPr="00D609AA" w:rsidRDefault="0001174A" w:rsidP="00DF6B41">
            <w:pPr>
              <w:jc w:val="both"/>
              <w:rPr>
                <w:szCs w:val="26"/>
                <w:lang w:val="lv-LV" w:eastAsia="ar-SA"/>
              </w:rPr>
            </w:pPr>
            <w:r w:rsidRPr="00D609AA">
              <w:rPr>
                <w:szCs w:val="26"/>
                <w:lang w:val="lv-LV" w:eastAsia="ar-SA"/>
              </w:rPr>
              <w:t>Pasūtītājs piemēroja sarunu procedūru, pamatojoties uz PIL 8.panta septītās daļas 1.punktu šāda apsvēruma dēļ – Departamenta PIL 10. panta kārtībā</w:t>
            </w:r>
            <w:r w:rsidR="008D0CA6" w:rsidRPr="00D609AA">
              <w:rPr>
                <w:rStyle w:val="Vresatsauce"/>
                <w:szCs w:val="26"/>
                <w:lang w:val="lv-LV" w:eastAsia="ar-SA"/>
              </w:rPr>
              <w:footnoteReference w:id="1"/>
            </w:r>
            <w:r w:rsidRPr="00D609AA">
              <w:rPr>
                <w:szCs w:val="26"/>
                <w:lang w:val="lv-LV" w:eastAsia="ar-SA"/>
              </w:rPr>
              <w:t xml:space="preserve"> rīkotā iepirkuma “Kultūras pasākumu organizēšanas pakalpojumi Rīgas vasaras kultūras programmas īstenošanai 2022. gadā” (identifikācijas numurs RD IKSD 2022/5) 2. daļ</w:t>
            </w:r>
            <w:r w:rsidR="00B15A8A" w:rsidRPr="00D609AA">
              <w:rPr>
                <w:szCs w:val="26"/>
                <w:lang w:val="lv-LV" w:eastAsia="ar-SA"/>
              </w:rPr>
              <w:t>ā</w:t>
            </w:r>
            <w:r w:rsidRPr="00D609AA">
              <w:rPr>
                <w:szCs w:val="26"/>
                <w:lang w:val="lv-LV" w:eastAsia="ar-SA"/>
              </w:rPr>
              <w:t xml:space="preserve"> “Bolderājas apkaimes svētki 30. jūlijā”, 3.daļ</w:t>
            </w:r>
            <w:r w:rsidR="00B15A8A" w:rsidRPr="00D609AA">
              <w:rPr>
                <w:szCs w:val="26"/>
                <w:lang w:val="lv-LV" w:eastAsia="ar-SA"/>
              </w:rPr>
              <w:t>ā</w:t>
            </w:r>
            <w:r w:rsidRPr="00D609AA">
              <w:rPr>
                <w:szCs w:val="26"/>
                <w:lang w:val="lv-LV" w:eastAsia="ar-SA"/>
              </w:rPr>
              <w:t xml:space="preserve"> “Maskavas </w:t>
            </w:r>
            <w:proofErr w:type="spellStart"/>
            <w:r w:rsidRPr="00D609AA">
              <w:rPr>
                <w:szCs w:val="26"/>
                <w:lang w:val="lv-LV" w:eastAsia="ar-SA"/>
              </w:rPr>
              <w:t>forštates</w:t>
            </w:r>
            <w:proofErr w:type="spellEnd"/>
            <w:r w:rsidRPr="00D609AA">
              <w:rPr>
                <w:szCs w:val="26"/>
                <w:lang w:val="lv-LV" w:eastAsia="ar-SA"/>
              </w:rPr>
              <w:t xml:space="preserve"> apkaimju svētki 6. augustā”, 4.daļ</w:t>
            </w:r>
            <w:r w:rsidR="00B15A8A" w:rsidRPr="00D609AA">
              <w:rPr>
                <w:szCs w:val="26"/>
                <w:lang w:val="lv-LV" w:eastAsia="ar-SA"/>
              </w:rPr>
              <w:t>ā</w:t>
            </w:r>
            <w:r w:rsidRPr="00D609AA">
              <w:rPr>
                <w:szCs w:val="26"/>
                <w:lang w:val="lv-LV" w:eastAsia="ar-SA"/>
              </w:rPr>
              <w:t xml:space="preserve"> “Imantas apkaimju svētki  13. augustā”, 6. daļ</w:t>
            </w:r>
            <w:r w:rsidR="00B15A8A" w:rsidRPr="00D609AA">
              <w:rPr>
                <w:szCs w:val="26"/>
                <w:lang w:val="lv-LV" w:eastAsia="ar-SA"/>
              </w:rPr>
              <w:t>ā</w:t>
            </w:r>
            <w:r w:rsidRPr="00D609AA">
              <w:rPr>
                <w:szCs w:val="26"/>
                <w:lang w:val="lv-LV" w:eastAsia="ar-SA"/>
              </w:rPr>
              <w:t xml:space="preserve"> “Prieka mirkļu parks Vērmanes dārzā no 1. jūlija līdz 28. augustam” procedūra tika izbeigta, jo šajās daļās netika iesniegti piedāvājumi, savukārt 9. daļā “Prieka mirkļi Ķengaraga promenādē un </w:t>
            </w:r>
            <w:proofErr w:type="spellStart"/>
            <w:r w:rsidRPr="00D609AA">
              <w:rPr>
                <w:szCs w:val="26"/>
                <w:lang w:val="lv-LV" w:eastAsia="ar-SA"/>
              </w:rPr>
              <w:t>Mazjumpravas</w:t>
            </w:r>
            <w:proofErr w:type="spellEnd"/>
            <w:r w:rsidRPr="00D609AA">
              <w:rPr>
                <w:szCs w:val="26"/>
                <w:lang w:val="lv-LV" w:eastAsia="ar-SA"/>
              </w:rPr>
              <w:t xml:space="preserve"> muižas dārza no 1. jūlija līdz 28. augustam” procedūra tika izbeigta, jo šajā iepirkuma daļā tika iesniegts iepirkuma procedūras dokumentos noteiktajām prasībām neatbilstošs piedāvājums.</w:t>
            </w:r>
          </w:p>
        </w:tc>
      </w:tr>
      <w:tr w:rsidR="00116BA7" w:rsidRPr="00D609AA" w14:paraId="38092754" w14:textId="77777777" w:rsidTr="00995309">
        <w:tc>
          <w:tcPr>
            <w:tcW w:w="0" w:type="auto"/>
          </w:tcPr>
          <w:p w14:paraId="0FB26787" w14:textId="77777777" w:rsidR="00116BA7" w:rsidRPr="00D609AA" w:rsidRDefault="00755109" w:rsidP="00116BA7">
            <w:pPr>
              <w:jc w:val="both"/>
              <w:rPr>
                <w:rFonts w:cs="Arial"/>
                <w:lang w:val="lv-LV"/>
              </w:rPr>
            </w:pPr>
            <w:r w:rsidRPr="00D609AA">
              <w:rPr>
                <w:rFonts w:cs="Arial"/>
                <w:lang w:val="lv-LV"/>
              </w:rPr>
              <w:t>I</w:t>
            </w:r>
            <w:r w:rsidR="00116BA7" w:rsidRPr="00D609AA">
              <w:rPr>
                <w:rFonts w:cs="Arial"/>
                <w:lang w:val="lv-LV"/>
              </w:rPr>
              <w:t>epirkuma līguma priekšmets</w:t>
            </w:r>
          </w:p>
        </w:tc>
        <w:tc>
          <w:tcPr>
            <w:tcW w:w="0" w:type="auto"/>
          </w:tcPr>
          <w:p w14:paraId="27C47AE0" w14:textId="3C90E3E8" w:rsidR="00821476" w:rsidRPr="00D609AA" w:rsidRDefault="00821476" w:rsidP="00821476">
            <w:pPr>
              <w:jc w:val="both"/>
              <w:rPr>
                <w:rFonts w:eastAsia="Calibri"/>
                <w:szCs w:val="26"/>
                <w:lang w:val="lv-LV" w:eastAsia="lv-LV"/>
              </w:rPr>
            </w:pPr>
            <w:r w:rsidRPr="00D609AA">
              <w:rPr>
                <w:rFonts w:eastAsia="Calibri"/>
                <w:szCs w:val="26"/>
                <w:lang w:val="lv-LV" w:eastAsia="lv-LV"/>
              </w:rPr>
              <w:t>Pakalpojuma līgums atbilst CPV kodam 79952100-3 Kultūras pasākumu organizēšanas pakalpojumi, kas ietverts PIL 2.pielikumā.</w:t>
            </w:r>
          </w:p>
          <w:p w14:paraId="27589023" w14:textId="77777777" w:rsidR="00821476" w:rsidRPr="00D609AA" w:rsidRDefault="00821476" w:rsidP="00821476">
            <w:pPr>
              <w:jc w:val="both"/>
              <w:rPr>
                <w:rFonts w:eastAsia="Calibri"/>
                <w:szCs w:val="26"/>
                <w:lang w:val="lv-LV" w:eastAsia="lv-LV"/>
              </w:rPr>
            </w:pPr>
          </w:p>
          <w:p w14:paraId="3B1DCC5E" w14:textId="151D900F" w:rsidR="00821476" w:rsidRPr="00D609AA" w:rsidRDefault="00821476" w:rsidP="00821476">
            <w:pPr>
              <w:jc w:val="both"/>
              <w:rPr>
                <w:rFonts w:eastAsia="Calibri"/>
                <w:szCs w:val="26"/>
                <w:lang w:val="lv-LV" w:eastAsia="lv-LV"/>
              </w:rPr>
            </w:pPr>
            <w:r w:rsidRPr="00D609AA">
              <w:rPr>
                <w:rFonts w:eastAsia="Calibri"/>
                <w:szCs w:val="26"/>
                <w:lang w:val="lv-LV" w:eastAsia="lv-LV"/>
              </w:rPr>
              <w:t xml:space="preserve">Iepirkuma priekšmets – </w:t>
            </w:r>
            <w:r w:rsidR="00120CC4" w:rsidRPr="00D609AA">
              <w:rPr>
                <w:rFonts w:eastAsia="Calibri"/>
                <w:szCs w:val="26"/>
                <w:lang w:val="lv-LV" w:eastAsia="lv-LV"/>
              </w:rPr>
              <w:t>D</w:t>
            </w:r>
            <w:r w:rsidR="007374E0" w:rsidRPr="00D609AA">
              <w:rPr>
                <w:rFonts w:eastAsia="Calibri"/>
                <w:szCs w:val="26"/>
                <w:lang w:val="lv-LV" w:eastAsia="lv-LV"/>
              </w:rPr>
              <w:t>epartamenta kultūras pasākumu organizēšanas pakalpojumi 2022. gada Rīgas vasaras kultūras programmas īstenošanai, iepirkuma priekšmets tiek dalīts šādās daļās:</w:t>
            </w:r>
          </w:p>
          <w:tbl>
            <w:tblPr>
              <w:tblW w:w="0" w:type="auto"/>
              <w:tblCellMar>
                <w:left w:w="0" w:type="dxa"/>
                <w:right w:w="0" w:type="dxa"/>
              </w:tblCellMar>
              <w:tblLook w:val="04A0" w:firstRow="1" w:lastRow="0" w:firstColumn="1" w:lastColumn="0" w:noHBand="0" w:noVBand="1"/>
            </w:tblPr>
            <w:tblGrid>
              <w:gridCol w:w="724"/>
              <w:gridCol w:w="4133"/>
              <w:gridCol w:w="2138"/>
            </w:tblGrid>
            <w:tr w:rsidR="00821476" w:rsidRPr="00D609AA" w14:paraId="38EA840D" w14:textId="77777777" w:rsidTr="00213A18">
              <w:trPr>
                <w:trHeight w:val="113"/>
              </w:trPr>
              <w:tc>
                <w:tcPr>
                  <w:tcW w:w="0" w:type="auto"/>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14:paraId="6B1E5DA7" w14:textId="77777777" w:rsidR="00821476" w:rsidRPr="00D609AA" w:rsidRDefault="00821476" w:rsidP="00821476">
                  <w:pPr>
                    <w:rPr>
                      <w:color w:val="000000"/>
                      <w:lang w:val="lv-LV" w:eastAsia="lv-LV"/>
                    </w:rPr>
                  </w:pPr>
                  <w:r w:rsidRPr="00D609AA">
                    <w:rPr>
                      <w:color w:val="000000"/>
                      <w:lang w:val="lv-LV"/>
                    </w:rPr>
                    <w:lastRenderedPageBreak/>
                    <w:t>Daļas Nr.</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FBB43A" w14:textId="77777777" w:rsidR="00821476" w:rsidRPr="00D609AA" w:rsidRDefault="00821476" w:rsidP="00821476">
                  <w:pPr>
                    <w:rPr>
                      <w:color w:val="000000"/>
                      <w:lang w:val="lv-LV"/>
                    </w:rPr>
                  </w:pPr>
                  <w:r w:rsidRPr="00D609AA">
                    <w:rPr>
                      <w:color w:val="000000"/>
                      <w:lang w:val="lv-LV"/>
                    </w:rPr>
                    <w:t>Daļas nosaukums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3DBF8F" w14:textId="77777777" w:rsidR="00821476" w:rsidRPr="00D609AA" w:rsidRDefault="00821476" w:rsidP="00821476">
                  <w:pPr>
                    <w:jc w:val="center"/>
                    <w:rPr>
                      <w:color w:val="000000"/>
                      <w:lang w:val="lv-LV"/>
                    </w:rPr>
                  </w:pPr>
                  <w:r w:rsidRPr="00D609AA">
                    <w:rPr>
                      <w:color w:val="000000"/>
                      <w:lang w:val="lv-LV"/>
                    </w:rPr>
                    <w:t>Daļas paredzamā līgumcena bez PVN, EUR</w:t>
                  </w:r>
                </w:p>
              </w:tc>
            </w:tr>
            <w:tr w:rsidR="007374E0" w:rsidRPr="00D609AA" w14:paraId="36235B1D" w14:textId="77777777" w:rsidTr="00AE33B6">
              <w:trPr>
                <w:trHeight w:val="113"/>
              </w:trPr>
              <w:tc>
                <w:tcPr>
                  <w:tcW w:w="0" w:type="auto"/>
                  <w:tcBorders>
                    <w:top w:val="single" w:sz="12" w:space="0" w:color="auto"/>
                    <w:left w:val="single" w:sz="12" w:space="0" w:color="auto"/>
                    <w:bottom w:val="single" w:sz="6" w:space="0" w:color="auto"/>
                    <w:right w:val="single" w:sz="6" w:space="0" w:color="auto"/>
                  </w:tcBorders>
                  <w:tcMar>
                    <w:top w:w="0" w:type="dxa"/>
                    <w:left w:w="15" w:type="dxa"/>
                    <w:bottom w:w="0" w:type="dxa"/>
                    <w:right w:w="15" w:type="dxa"/>
                  </w:tcMar>
                  <w:vAlign w:val="center"/>
                  <w:hideMark/>
                </w:tcPr>
                <w:p w14:paraId="17D8BBEC" w14:textId="1B5AF51C" w:rsidR="007374E0" w:rsidRPr="00D609AA" w:rsidRDefault="007374E0" w:rsidP="007374E0">
                  <w:pPr>
                    <w:rPr>
                      <w:color w:val="000000"/>
                      <w:lang w:val="lv-LV"/>
                    </w:rPr>
                  </w:pPr>
                  <w:r w:rsidRPr="00D609AA">
                    <w:rPr>
                      <w:color w:val="212121"/>
                      <w:lang w:val="lv-LV"/>
                    </w:rPr>
                    <w:t>1.daļa</w:t>
                  </w:r>
                </w:p>
              </w:tc>
              <w:tc>
                <w:tcPr>
                  <w:tcW w:w="0" w:type="auto"/>
                  <w:tcBorders>
                    <w:top w:val="single" w:sz="12"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14:paraId="70ADF977" w14:textId="5FF3D011" w:rsidR="007374E0" w:rsidRPr="00D609AA" w:rsidRDefault="007374E0" w:rsidP="007374E0">
                  <w:pPr>
                    <w:rPr>
                      <w:color w:val="000000"/>
                      <w:lang w:val="lv-LV"/>
                    </w:rPr>
                  </w:pPr>
                  <w:r w:rsidRPr="00D609AA">
                    <w:rPr>
                      <w:color w:val="000000"/>
                      <w:lang w:val="lv-LV"/>
                    </w:rPr>
                    <w:t>Bolderājas apkaimes svētki 30. jūlijā</w:t>
                  </w:r>
                </w:p>
              </w:tc>
              <w:tc>
                <w:tcPr>
                  <w:tcW w:w="0" w:type="auto"/>
                  <w:tcBorders>
                    <w:top w:val="single" w:sz="12"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tcPr>
                <w:p w14:paraId="5D4834ED" w14:textId="443CF5C8" w:rsidR="007374E0" w:rsidRPr="00D609AA" w:rsidRDefault="007374E0" w:rsidP="007374E0">
                  <w:pPr>
                    <w:jc w:val="center"/>
                    <w:rPr>
                      <w:color w:val="000000"/>
                      <w:lang w:val="lv-LV"/>
                    </w:rPr>
                  </w:pPr>
                  <w:r w:rsidRPr="00D609AA">
                    <w:rPr>
                      <w:color w:val="000000"/>
                      <w:lang w:val="lv-LV" w:eastAsia="lv-LV"/>
                    </w:rPr>
                    <w:t>53719.00</w:t>
                  </w:r>
                </w:p>
              </w:tc>
            </w:tr>
            <w:tr w:rsidR="007374E0" w:rsidRPr="00D609AA" w14:paraId="6BBF5F9E" w14:textId="77777777" w:rsidTr="00AE33B6">
              <w:trPr>
                <w:trHeight w:val="113"/>
              </w:trPr>
              <w:tc>
                <w:tcPr>
                  <w:tcW w:w="0" w:type="auto"/>
                  <w:tcBorders>
                    <w:top w:val="single" w:sz="6" w:space="0" w:color="auto"/>
                    <w:left w:val="single" w:sz="12" w:space="0" w:color="auto"/>
                    <w:bottom w:val="single" w:sz="6" w:space="0" w:color="auto"/>
                    <w:right w:val="single" w:sz="6" w:space="0" w:color="auto"/>
                  </w:tcBorders>
                  <w:tcMar>
                    <w:top w:w="0" w:type="dxa"/>
                    <w:left w:w="15" w:type="dxa"/>
                    <w:bottom w:w="0" w:type="dxa"/>
                    <w:right w:w="15" w:type="dxa"/>
                  </w:tcMar>
                  <w:vAlign w:val="center"/>
                  <w:hideMark/>
                </w:tcPr>
                <w:p w14:paraId="056B3A69" w14:textId="368E8A2D" w:rsidR="007374E0" w:rsidRPr="00D609AA" w:rsidRDefault="007374E0" w:rsidP="007374E0">
                  <w:pPr>
                    <w:rPr>
                      <w:color w:val="000000"/>
                      <w:lang w:val="lv-LV"/>
                    </w:rPr>
                  </w:pPr>
                  <w:r w:rsidRPr="00D609AA">
                    <w:rPr>
                      <w:color w:val="212121"/>
                      <w:lang w:val="lv-LV"/>
                    </w:rPr>
                    <w:t>2.daļa</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14:paraId="7DAC7D92" w14:textId="62A8486F" w:rsidR="007374E0" w:rsidRPr="00D609AA" w:rsidRDefault="007374E0" w:rsidP="007374E0">
                  <w:pPr>
                    <w:rPr>
                      <w:color w:val="000000"/>
                      <w:lang w:val="lv-LV"/>
                    </w:rPr>
                  </w:pPr>
                  <w:r w:rsidRPr="00D609AA">
                    <w:rPr>
                      <w:color w:val="000000"/>
                      <w:lang w:val="lv-LV"/>
                    </w:rPr>
                    <w:t xml:space="preserve">Maskavas </w:t>
                  </w:r>
                  <w:proofErr w:type="spellStart"/>
                  <w:r w:rsidRPr="00D609AA">
                    <w:rPr>
                      <w:color w:val="000000"/>
                      <w:lang w:val="lv-LV"/>
                    </w:rPr>
                    <w:t>forštates</w:t>
                  </w:r>
                  <w:proofErr w:type="spellEnd"/>
                  <w:r w:rsidRPr="00D609AA">
                    <w:rPr>
                      <w:color w:val="000000"/>
                      <w:lang w:val="lv-LV"/>
                    </w:rPr>
                    <w:t xml:space="preserve"> apkaimju svētki 6. augustā</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tcPr>
                <w:p w14:paraId="5D5A496A" w14:textId="43201269" w:rsidR="007374E0" w:rsidRPr="00D609AA" w:rsidRDefault="007374E0" w:rsidP="007374E0">
                  <w:pPr>
                    <w:jc w:val="center"/>
                    <w:rPr>
                      <w:color w:val="000000"/>
                      <w:lang w:val="lv-LV"/>
                    </w:rPr>
                  </w:pPr>
                  <w:r w:rsidRPr="00D609AA">
                    <w:rPr>
                      <w:color w:val="000000"/>
                      <w:lang w:val="lv-LV" w:eastAsia="lv-LV"/>
                    </w:rPr>
                    <w:t>53719.00</w:t>
                  </w:r>
                </w:p>
              </w:tc>
            </w:tr>
            <w:tr w:rsidR="007374E0" w:rsidRPr="00D609AA" w14:paraId="0CC42C38" w14:textId="77777777" w:rsidTr="007374E0">
              <w:trPr>
                <w:trHeight w:val="113"/>
              </w:trPr>
              <w:tc>
                <w:tcPr>
                  <w:tcW w:w="0" w:type="auto"/>
                  <w:tcBorders>
                    <w:top w:val="single" w:sz="6" w:space="0" w:color="auto"/>
                    <w:left w:val="single" w:sz="12" w:space="0" w:color="auto"/>
                    <w:bottom w:val="single" w:sz="4" w:space="0" w:color="auto"/>
                    <w:right w:val="single" w:sz="6" w:space="0" w:color="auto"/>
                  </w:tcBorders>
                  <w:tcMar>
                    <w:top w:w="0" w:type="dxa"/>
                    <w:left w:w="15" w:type="dxa"/>
                    <w:bottom w:w="0" w:type="dxa"/>
                    <w:right w:w="15" w:type="dxa"/>
                  </w:tcMar>
                  <w:vAlign w:val="center"/>
                  <w:hideMark/>
                </w:tcPr>
                <w:p w14:paraId="27C410C2" w14:textId="0019F005" w:rsidR="007374E0" w:rsidRPr="00D609AA" w:rsidRDefault="007374E0" w:rsidP="007374E0">
                  <w:pPr>
                    <w:rPr>
                      <w:color w:val="000000"/>
                      <w:lang w:val="lv-LV"/>
                    </w:rPr>
                  </w:pPr>
                  <w:r w:rsidRPr="00D609AA">
                    <w:rPr>
                      <w:color w:val="212121"/>
                      <w:lang w:val="lv-LV"/>
                    </w:rPr>
                    <w:t>3.daļa</w:t>
                  </w:r>
                </w:p>
              </w:tc>
              <w:tc>
                <w:tcPr>
                  <w:tcW w:w="0" w:type="auto"/>
                  <w:tcBorders>
                    <w:top w:val="single" w:sz="6" w:space="0" w:color="auto"/>
                    <w:left w:val="single" w:sz="6" w:space="0" w:color="auto"/>
                    <w:bottom w:val="single" w:sz="4" w:space="0" w:color="auto"/>
                    <w:right w:val="single" w:sz="6" w:space="0" w:color="auto"/>
                  </w:tcBorders>
                  <w:shd w:val="clear" w:color="auto" w:fill="auto"/>
                  <w:tcMar>
                    <w:top w:w="15" w:type="dxa"/>
                    <w:left w:w="15" w:type="dxa"/>
                    <w:bottom w:w="0" w:type="dxa"/>
                    <w:right w:w="15" w:type="dxa"/>
                  </w:tcMar>
                  <w:vAlign w:val="center"/>
                  <w:hideMark/>
                </w:tcPr>
                <w:p w14:paraId="27C3ACBB" w14:textId="37301637" w:rsidR="007374E0" w:rsidRPr="00D609AA" w:rsidRDefault="007374E0" w:rsidP="007374E0">
                  <w:pPr>
                    <w:rPr>
                      <w:color w:val="000000"/>
                      <w:lang w:val="lv-LV"/>
                    </w:rPr>
                  </w:pPr>
                  <w:r w:rsidRPr="00D609AA">
                    <w:rPr>
                      <w:color w:val="000000"/>
                      <w:lang w:val="lv-LV"/>
                    </w:rPr>
                    <w:t>Imantas apkaimju svētki  20. augustā</w:t>
                  </w:r>
                </w:p>
              </w:tc>
              <w:tc>
                <w:tcPr>
                  <w:tcW w:w="0" w:type="auto"/>
                  <w:tcBorders>
                    <w:top w:val="single" w:sz="6" w:space="0" w:color="auto"/>
                    <w:left w:val="single" w:sz="6" w:space="0" w:color="auto"/>
                    <w:bottom w:val="single" w:sz="4" w:space="0" w:color="auto"/>
                    <w:right w:val="single" w:sz="6" w:space="0" w:color="auto"/>
                  </w:tcBorders>
                  <w:shd w:val="clear" w:color="auto" w:fill="auto"/>
                  <w:tcMar>
                    <w:top w:w="15" w:type="dxa"/>
                    <w:left w:w="15" w:type="dxa"/>
                    <w:bottom w:w="0" w:type="dxa"/>
                    <w:right w:w="15" w:type="dxa"/>
                  </w:tcMar>
                  <w:vAlign w:val="center"/>
                </w:tcPr>
                <w:p w14:paraId="18C65C00" w14:textId="519272B8" w:rsidR="007374E0" w:rsidRPr="00D609AA" w:rsidRDefault="007374E0" w:rsidP="007374E0">
                  <w:pPr>
                    <w:jc w:val="center"/>
                    <w:rPr>
                      <w:color w:val="000000"/>
                      <w:lang w:val="lv-LV"/>
                    </w:rPr>
                  </w:pPr>
                  <w:r w:rsidRPr="00D609AA">
                    <w:rPr>
                      <w:color w:val="000000"/>
                      <w:lang w:val="lv-LV" w:eastAsia="lv-LV"/>
                    </w:rPr>
                    <w:t>53719.00</w:t>
                  </w:r>
                </w:p>
              </w:tc>
            </w:tr>
            <w:tr w:rsidR="007374E0" w:rsidRPr="00D609AA" w14:paraId="782B1C07" w14:textId="77777777" w:rsidTr="007374E0">
              <w:trPr>
                <w:trHeight w:val="113"/>
              </w:trPr>
              <w:tc>
                <w:tcPr>
                  <w:tcW w:w="0" w:type="auto"/>
                  <w:tcBorders>
                    <w:top w:val="single" w:sz="4" w:space="0" w:color="auto"/>
                    <w:left w:val="single" w:sz="12" w:space="0" w:color="auto"/>
                    <w:bottom w:val="single" w:sz="6" w:space="0" w:color="auto"/>
                    <w:right w:val="single" w:sz="6" w:space="0" w:color="auto"/>
                  </w:tcBorders>
                  <w:tcMar>
                    <w:top w:w="0" w:type="dxa"/>
                    <w:left w:w="15" w:type="dxa"/>
                    <w:bottom w:w="0" w:type="dxa"/>
                    <w:right w:w="15" w:type="dxa"/>
                  </w:tcMar>
                  <w:vAlign w:val="center"/>
                  <w:hideMark/>
                </w:tcPr>
                <w:p w14:paraId="5CE10701" w14:textId="3381EC89" w:rsidR="007374E0" w:rsidRPr="00D609AA" w:rsidRDefault="007374E0" w:rsidP="007374E0">
                  <w:pPr>
                    <w:rPr>
                      <w:color w:val="000000"/>
                      <w:lang w:val="lv-LV"/>
                    </w:rPr>
                  </w:pPr>
                  <w:r w:rsidRPr="00D609AA">
                    <w:rPr>
                      <w:color w:val="212121"/>
                      <w:lang w:val="lv-LV"/>
                    </w:rPr>
                    <w:t>4.daļa</w:t>
                  </w:r>
                </w:p>
              </w:tc>
              <w:tc>
                <w:tcPr>
                  <w:tcW w:w="0" w:type="auto"/>
                  <w:tcBorders>
                    <w:top w:val="single" w:sz="4"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14:paraId="3FD6A713" w14:textId="5BB7B208" w:rsidR="007374E0" w:rsidRPr="00D609AA" w:rsidRDefault="007374E0" w:rsidP="007374E0">
                  <w:pPr>
                    <w:rPr>
                      <w:color w:val="000000"/>
                      <w:lang w:val="lv-LV"/>
                    </w:rPr>
                  </w:pPr>
                  <w:r w:rsidRPr="00D609AA">
                    <w:rPr>
                      <w:color w:val="212121"/>
                      <w:lang w:val="lv-LV"/>
                    </w:rPr>
                    <w:t>Prieka mirkļu parks Vērmanes dārzā no 1. jūlija līdz 28. augustam</w:t>
                  </w:r>
                </w:p>
              </w:tc>
              <w:tc>
                <w:tcPr>
                  <w:tcW w:w="0" w:type="auto"/>
                  <w:tcBorders>
                    <w:top w:val="single" w:sz="4" w:space="0" w:color="auto"/>
                    <w:left w:val="single" w:sz="6" w:space="0" w:color="auto"/>
                    <w:bottom w:val="single" w:sz="6" w:space="0" w:color="auto"/>
                    <w:right w:val="single" w:sz="6" w:space="0" w:color="auto"/>
                  </w:tcBorders>
                  <w:shd w:val="clear" w:color="auto" w:fill="auto"/>
                  <w:tcMar>
                    <w:top w:w="15" w:type="dxa"/>
                    <w:left w:w="15" w:type="dxa"/>
                    <w:bottom w:w="0" w:type="dxa"/>
                    <w:right w:w="15" w:type="dxa"/>
                  </w:tcMar>
                  <w:vAlign w:val="center"/>
                  <w:hideMark/>
                </w:tcPr>
                <w:p w14:paraId="28D46B74" w14:textId="76263E3E" w:rsidR="007374E0" w:rsidRPr="00D609AA" w:rsidRDefault="007374E0" w:rsidP="007374E0">
                  <w:pPr>
                    <w:jc w:val="center"/>
                    <w:rPr>
                      <w:color w:val="000000"/>
                      <w:lang w:val="lv-LV"/>
                    </w:rPr>
                  </w:pPr>
                  <w:r w:rsidRPr="00D609AA">
                    <w:rPr>
                      <w:color w:val="212121"/>
                      <w:lang w:val="lv-LV"/>
                    </w:rPr>
                    <w:t>57851.00</w:t>
                  </w:r>
                </w:p>
              </w:tc>
            </w:tr>
            <w:tr w:rsidR="007374E0" w:rsidRPr="00D609AA" w14:paraId="550C19C8" w14:textId="77777777" w:rsidTr="00AE33B6">
              <w:trPr>
                <w:trHeight w:val="113"/>
              </w:trPr>
              <w:tc>
                <w:tcPr>
                  <w:tcW w:w="0" w:type="auto"/>
                  <w:tcBorders>
                    <w:top w:val="single" w:sz="6" w:space="0" w:color="auto"/>
                    <w:left w:val="single" w:sz="12" w:space="0" w:color="auto"/>
                    <w:bottom w:val="single" w:sz="12" w:space="0" w:color="auto"/>
                    <w:right w:val="single" w:sz="6" w:space="0" w:color="auto"/>
                  </w:tcBorders>
                  <w:tcMar>
                    <w:top w:w="0" w:type="dxa"/>
                    <w:left w:w="15" w:type="dxa"/>
                    <w:bottom w:w="0" w:type="dxa"/>
                    <w:right w:w="15" w:type="dxa"/>
                  </w:tcMar>
                  <w:vAlign w:val="center"/>
                  <w:hideMark/>
                </w:tcPr>
                <w:p w14:paraId="28DF1F0C" w14:textId="032CBFC5" w:rsidR="007374E0" w:rsidRPr="00D609AA" w:rsidRDefault="007374E0" w:rsidP="007374E0">
                  <w:pPr>
                    <w:rPr>
                      <w:color w:val="000000"/>
                      <w:lang w:val="lv-LV"/>
                    </w:rPr>
                  </w:pPr>
                  <w:r w:rsidRPr="00D609AA">
                    <w:rPr>
                      <w:color w:val="212121"/>
                      <w:lang w:val="lv-LV"/>
                    </w:rPr>
                    <w:t>5.daļa</w:t>
                  </w:r>
                </w:p>
              </w:tc>
              <w:tc>
                <w:tcPr>
                  <w:tcW w:w="0" w:type="auto"/>
                  <w:tcBorders>
                    <w:top w:val="single" w:sz="6" w:space="0" w:color="auto"/>
                    <w:left w:val="single" w:sz="6" w:space="0" w:color="auto"/>
                    <w:bottom w:val="single" w:sz="12" w:space="0" w:color="auto"/>
                    <w:right w:val="single" w:sz="6" w:space="0" w:color="auto"/>
                  </w:tcBorders>
                  <w:tcMar>
                    <w:top w:w="15" w:type="dxa"/>
                    <w:left w:w="15" w:type="dxa"/>
                    <w:bottom w:w="0" w:type="dxa"/>
                    <w:right w:w="15" w:type="dxa"/>
                  </w:tcMar>
                  <w:vAlign w:val="center"/>
                  <w:hideMark/>
                </w:tcPr>
                <w:p w14:paraId="12B6D56C" w14:textId="4550CB8F" w:rsidR="007374E0" w:rsidRPr="00D609AA" w:rsidRDefault="007374E0" w:rsidP="007374E0">
                  <w:pPr>
                    <w:rPr>
                      <w:color w:val="000000"/>
                      <w:lang w:val="lv-LV"/>
                    </w:rPr>
                  </w:pPr>
                  <w:r w:rsidRPr="00D609AA">
                    <w:rPr>
                      <w:color w:val="000000"/>
                      <w:lang w:val="lv-LV"/>
                    </w:rPr>
                    <w:t xml:space="preserve">Prieka mirkļi Ķengaraga promenādē un </w:t>
                  </w:r>
                  <w:proofErr w:type="spellStart"/>
                  <w:r w:rsidRPr="00D609AA">
                    <w:rPr>
                      <w:color w:val="000000"/>
                      <w:lang w:val="lv-LV"/>
                    </w:rPr>
                    <w:t>Mazjumpravas</w:t>
                  </w:r>
                  <w:proofErr w:type="spellEnd"/>
                  <w:r w:rsidRPr="00D609AA">
                    <w:rPr>
                      <w:color w:val="000000"/>
                      <w:lang w:val="lv-LV"/>
                    </w:rPr>
                    <w:t xml:space="preserve"> muižas dārza no 1. jūlija līdz 28. augustam</w:t>
                  </w:r>
                </w:p>
              </w:tc>
              <w:tc>
                <w:tcPr>
                  <w:tcW w:w="0" w:type="auto"/>
                  <w:tcBorders>
                    <w:top w:val="single" w:sz="6" w:space="0" w:color="auto"/>
                    <w:left w:val="single" w:sz="6" w:space="0" w:color="auto"/>
                    <w:bottom w:val="single" w:sz="12" w:space="0" w:color="auto"/>
                    <w:right w:val="single" w:sz="6" w:space="0" w:color="auto"/>
                  </w:tcBorders>
                  <w:tcMar>
                    <w:top w:w="15" w:type="dxa"/>
                    <w:left w:w="15" w:type="dxa"/>
                    <w:bottom w:w="0" w:type="dxa"/>
                    <w:right w:w="15" w:type="dxa"/>
                  </w:tcMar>
                  <w:vAlign w:val="center"/>
                  <w:hideMark/>
                </w:tcPr>
                <w:p w14:paraId="0B263D58" w14:textId="15463BBF" w:rsidR="007374E0" w:rsidRPr="00D609AA" w:rsidRDefault="007374E0" w:rsidP="007374E0">
                  <w:pPr>
                    <w:jc w:val="center"/>
                    <w:rPr>
                      <w:color w:val="000000"/>
                      <w:lang w:val="lv-LV"/>
                    </w:rPr>
                  </w:pPr>
                  <w:r w:rsidRPr="00D609AA">
                    <w:rPr>
                      <w:color w:val="212121"/>
                      <w:lang w:val="lv-LV"/>
                    </w:rPr>
                    <w:t>57851.00</w:t>
                  </w:r>
                </w:p>
              </w:tc>
            </w:tr>
            <w:tr w:rsidR="00821476" w:rsidRPr="00D609AA" w14:paraId="4E284DEB" w14:textId="77777777" w:rsidTr="00213A18">
              <w:trPr>
                <w:trHeight w:val="113"/>
              </w:trPr>
              <w:tc>
                <w:tcPr>
                  <w:tcW w:w="0" w:type="auto"/>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14:paraId="4C45EC11" w14:textId="77777777" w:rsidR="00821476" w:rsidRPr="00D609AA" w:rsidRDefault="00821476" w:rsidP="00821476">
                  <w:pPr>
                    <w:jc w:val="right"/>
                    <w:rPr>
                      <w:b/>
                      <w:bCs/>
                      <w:color w:val="000000"/>
                      <w:lang w:val="lv-LV"/>
                    </w:rPr>
                  </w:pPr>
                  <w:r w:rsidRPr="00D609AA">
                    <w:rPr>
                      <w:b/>
                      <w:bCs/>
                      <w:color w:val="000000"/>
                      <w:lang w:val="lv-LV"/>
                    </w:rPr>
                    <w:t>KOPĀ</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7E1CEC" w14:textId="329D7591" w:rsidR="00821476" w:rsidRPr="00D609AA" w:rsidRDefault="007374E0" w:rsidP="00821476">
                  <w:pPr>
                    <w:jc w:val="center"/>
                    <w:rPr>
                      <w:b/>
                      <w:bCs/>
                      <w:color w:val="000000"/>
                      <w:lang w:val="lv-LV"/>
                    </w:rPr>
                  </w:pPr>
                  <w:r w:rsidRPr="00D609AA">
                    <w:rPr>
                      <w:b/>
                      <w:bCs/>
                      <w:color w:val="212121"/>
                      <w:lang w:val="lv-LV"/>
                    </w:rPr>
                    <w:t>276859.00</w:t>
                  </w:r>
                  <w:r w:rsidR="00821476" w:rsidRPr="00D609AA">
                    <w:rPr>
                      <w:b/>
                      <w:bCs/>
                      <w:color w:val="000000"/>
                      <w:lang w:val="lv-LV"/>
                    </w:rPr>
                    <w:fldChar w:fldCharType="begin"/>
                  </w:r>
                  <w:r w:rsidR="00821476" w:rsidRPr="00D609AA">
                    <w:rPr>
                      <w:b/>
                      <w:bCs/>
                      <w:color w:val="000000"/>
                      <w:lang w:val="lv-LV"/>
                    </w:rPr>
                    <w:instrText xml:space="preserve"> =SUM(ABOVE) </w:instrText>
                  </w:r>
                  <w:r w:rsidR="00D609AA" w:rsidRPr="00D609AA">
                    <w:rPr>
                      <w:b/>
                      <w:bCs/>
                      <w:color w:val="000000"/>
                      <w:lang w:val="lv-LV"/>
                    </w:rPr>
                    <w:fldChar w:fldCharType="separate"/>
                  </w:r>
                  <w:r w:rsidR="00821476" w:rsidRPr="00D609AA">
                    <w:rPr>
                      <w:b/>
                      <w:bCs/>
                      <w:color w:val="000000"/>
                      <w:lang w:val="lv-LV"/>
                    </w:rPr>
                    <w:fldChar w:fldCharType="end"/>
                  </w:r>
                </w:p>
              </w:tc>
            </w:tr>
          </w:tbl>
          <w:p w14:paraId="51620290" w14:textId="7A9FEA39" w:rsidR="00DF6B41" w:rsidRPr="00D609AA" w:rsidRDefault="00DF6B41" w:rsidP="00821476">
            <w:pPr>
              <w:jc w:val="both"/>
              <w:rPr>
                <w:color w:val="000000"/>
                <w:szCs w:val="26"/>
                <w:lang w:val="lv-LV"/>
              </w:rPr>
            </w:pPr>
          </w:p>
        </w:tc>
      </w:tr>
      <w:tr w:rsidR="008045DD" w:rsidRPr="00D609AA" w14:paraId="5EE81373" w14:textId="77777777" w:rsidTr="00995309">
        <w:tc>
          <w:tcPr>
            <w:tcW w:w="0" w:type="auto"/>
          </w:tcPr>
          <w:p w14:paraId="52369343" w14:textId="77777777" w:rsidR="008045DD" w:rsidRPr="00D609AA" w:rsidRDefault="00755109" w:rsidP="00116BA7">
            <w:pPr>
              <w:jc w:val="both"/>
              <w:rPr>
                <w:rFonts w:cs="Arial"/>
                <w:lang w:val="lv-LV"/>
              </w:rPr>
            </w:pPr>
            <w:r w:rsidRPr="00D609AA">
              <w:rPr>
                <w:rFonts w:cs="Arial"/>
                <w:lang w:val="lv-LV"/>
              </w:rPr>
              <w:lastRenderedPageBreak/>
              <w:t>I</w:t>
            </w:r>
            <w:r w:rsidR="008045DD" w:rsidRPr="00D609AA">
              <w:rPr>
                <w:rFonts w:cs="Arial"/>
                <w:lang w:val="lv-LV"/>
              </w:rPr>
              <w:t>epirkuma komisijas sastāvs un tās izveidošanas pamatojums</w:t>
            </w:r>
          </w:p>
        </w:tc>
        <w:tc>
          <w:tcPr>
            <w:tcW w:w="0" w:type="auto"/>
          </w:tcPr>
          <w:p w14:paraId="3BE1F3C3" w14:textId="4596DC32" w:rsidR="00821476" w:rsidRPr="00D609AA" w:rsidRDefault="00821476" w:rsidP="00821476">
            <w:pPr>
              <w:jc w:val="both"/>
              <w:rPr>
                <w:bCs/>
                <w:color w:val="000000"/>
                <w:lang w:val="lv-LV"/>
              </w:rPr>
            </w:pPr>
            <w:r w:rsidRPr="00D609AA">
              <w:rPr>
                <w:bCs/>
                <w:color w:val="000000"/>
                <w:lang w:val="lv-LV"/>
              </w:rPr>
              <w:t xml:space="preserve">Iepirkuma komisija (turpmāk </w:t>
            </w:r>
            <w:bookmarkStart w:id="0" w:name="_Hlk504037523"/>
            <w:r w:rsidRPr="00D609AA">
              <w:rPr>
                <w:bCs/>
                <w:color w:val="000000"/>
                <w:lang w:val="lv-LV"/>
              </w:rPr>
              <w:t>–</w:t>
            </w:r>
            <w:bookmarkEnd w:id="0"/>
            <w:r w:rsidRPr="00D609AA">
              <w:rPr>
                <w:bCs/>
                <w:color w:val="000000"/>
                <w:lang w:val="lv-LV"/>
              </w:rPr>
              <w:t xml:space="preserve"> Komisija) izveidota saskaņā ar </w:t>
            </w:r>
            <w:r w:rsidRPr="00D609AA">
              <w:rPr>
                <w:bCs/>
                <w:color w:val="000000"/>
                <w:lang w:val="lv-LV" w:eastAsia="ar-SA"/>
              </w:rPr>
              <w:t xml:space="preserve">Departamenta </w:t>
            </w:r>
            <w:r w:rsidR="00120CC4" w:rsidRPr="00D609AA">
              <w:rPr>
                <w:bCs/>
                <w:color w:val="000000"/>
                <w:lang w:val="lv-LV" w:eastAsia="ar-SA"/>
              </w:rPr>
              <w:t xml:space="preserve">30.05.2022. rīkojumu Nr. DIKS-22-466-rs </w:t>
            </w:r>
            <w:r w:rsidRPr="00D609AA">
              <w:rPr>
                <w:bCs/>
                <w:color w:val="000000"/>
                <w:lang w:val="lv-LV"/>
              </w:rPr>
              <w:t>šādā sastāvā:</w:t>
            </w:r>
          </w:p>
          <w:p w14:paraId="66514C31" w14:textId="3A2D0D29" w:rsidR="00821476" w:rsidRPr="00D609AA" w:rsidRDefault="00821476" w:rsidP="00821476">
            <w:pPr>
              <w:jc w:val="both"/>
              <w:rPr>
                <w:bCs/>
                <w:color w:val="000000"/>
                <w:lang w:val="lv-LV"/>
              </w:rPr>
            </w:pPr>
            <w:r w:rsidRPr="00D609AA">
              <w:rPr>
                <w:bCs/>
                <w:color w:val="000000"/>
                <w:lang w:val="lv-LV"/>
              </w:rPr>
              <w:t xml:space="preserve">Kristīne Graudumniece – Komisijas priekšsēdētāja; </w:t>
            </w:r>
            <w:r w:rsidR="00120CC4" w:rsidRPr="00D609AA">
              <w:rPr>
                <w:bCs/>
                <w:color w:val="000000"/>
                <w:lang w:val="lv-LV"/>
              </w:rPr>
              <w:t>Anastasija Goļatkina</w:t>
            </w:r>
            <w:r w:rsidRPr="00D609AA">
              <w:rPr>
                <w:bCs/>
                <w:color w:val="000000"/>
                <w:lang w:val="lv-LV"/>
              </w:rPr>
              <w:t xml:space="preserve"> - Komisijas priekšsēdētājas vietniece; Komisijas locek</w:t>
            </w:r>
            <w:r w:rsidR="007B6F0C" w:rsidRPr="00D609AA">
              <w:rPr>
                <w:bCs/>
                <w:color w:val="000000"/>
                <w:lang w:val="lv-LV"/>
              </w:rPr>
              <w:t>ļi:</w:t>
            </w:r>
            <w:r w:rsidRPr="00D609AA">
              <w:rPr>
                <w:bCs/>
                <w:color w:val="000000"/>
                <w:lang w:val="lv-LV"/>
              </w:rPr>
              <w:t xml:space="preserve"> </w:t>
            </w:r>
            <w:r w:rsidR="007B6F0C" w:rsidRPr="00D609AA">
              <w:rPr>
                <w:bCs/>
                <w:color w:val="000000"/>
                <w:lang w:val="lv-LV"/>
              </w:rPr>
              <w:t>Inese Liepa, Renāte Lagzdiņa, Ineta Zalāne, Ieva Lasmane, Marija Meirupska</w:t>
            </w:r>
            <w:r w:rsidRPr="00D609AA">
              <w:rPr>
                <w:bCs/>
                <w:color w:val="000000"/>
                <w:lang w:val="lv-LV"/>
              </w:rPr>
              <w:t>.</w:t>
            </w:r>
          </w:p>
          <w:p w14:paraId="3BB6625B" w14:textId="77777777" w:rsidR="008045DD" w:rsidRPr="00D609AA" w:rsidRDefault="008045DD" w:rsidP="008045DD">
            <w:pPr>
              <w:contextualSpacing/>
              <w:jc w:val="both"/>
              <w:rPr>
                <w:color w:val="000000"/>
                <w:szCs w:val="26"/>
                <w:lang w:val="lv-LV"/>
              </w:rPr>
            </w:pPr>
          </w:p>
        </w:tc>
      </w:tr>
      <w:tr w:rsidR="008045DD" w:rsidRPr="00D609AA" w14:paraId="2BDED7A6" w14:textId="77777777" w:rsidTr="00995309">
        <w:tc>
          <w:tcPr>
            <w:tcW w:w="0" w:type="auto"/>
          </w:tcPr>
          <w:p w14:paraId="083F0D2E" w14:textId="77777777" w:rsidR="008045DD" w:rsidRPr="00D609AA" w:rsidRDefault="00755109" w:rsidP="00116BA7">
            <w:pPr>
              <w:jc w:val="both"/>
              <w:rPr>
                <w:rFonts w:cs="Arial"/>
                <w:lang w:val="lv-LV"/>
              </w:rPr>
            </w:pPr>
            <w:r w:rsidRPr="00D609AA">
              <w:rPr>
                <w:rFonts w:cs="Arial"/>
                <w:lang w:val="lv-LV"/>
              </w:rPr>
              <w:t>U</w:t>
            </w:r>
            <w:r w:rsidR="008045DD" w:rsidRPr="00D609AA">
              <w:rPr>
                <w:rFonts w:cs="Arial"/>
                <w:lang w:val="lv-LV"/>
              </w:rPr>
              <w:t>z sarunām uzaicināto piegādātāju nosaukumi</w:t>
            </w:r>
          </w:p>
        </w:tc>
        <w:tc>
          <w:tcPr>
            <w:tcW w:w="0" w:type="auto"/>
          </w:tcPr>
          <w:p w14:paraId="50964B55" w14:textId="77A8783A" w:rsidR="00D134B4" w:rsidRPr="00D609AA" w:rsidRDefault="00D134B4" w:rsidP="00D134B4">
            <w:pPr>
              <w:jc w:val="both"/>
              <w:rPr>
                <w:bCs/>
                <w:color w:val="000000"/>
                <w:lang w:val="lv-LV"/>
              </w:rPr>
            </w:pPr>
            <w:r w:rsidRPr="00D609AA">
              <w:rPr>
                <w:bCs/>
                <w:color w:val="000000"/>
                <w:lang w:val="lv-LV"/>
              </w:rPr>
              <w:t>Sarunu procedūras ietvaros pasūtītājs, iepriekš nepublicējot paziņojumu par līgumu, apsprie</w:t>
            </w:r>
            <w:r w:rsidR="00923EAB" w:rsidRPr="00D609AA">
              <w:rPr>
                <w:bCs/>
                <w:color w:val="000000"/>
                <w:lang w:val="lv-LV"/>
              </w:rPr>
              <w:t>žas</w:t>
            </w:r>
            <w:r w:rsidRPr="00D609AA">
              <w:rPr>
                <w:bCs/>
                <w:color w:val="000000"/>
                <w:lang w:val="lv-LV"/>
              </w:rPr>
              <w:t xml:space="preserve"> ar paša izraudzītiem piegādātājiem un ar vienu vai vairākiem no viņiem rīko sarunas par iepirkuma līguma noteikumiem. Izraudzītie piegādātāji: </w:t>
            </w:r>
            <w:r w:rsidR="00923EAB" w:rsidRPr="00D609AA">
              <w:rPr>
                <w:bCs/>
                <w:color w:val="000000"/>
                <w:lang w:val="lv-LV"/>
              </w:rPr>
              <w:t xml:space="preserve">SIA “STORY HUB”, SIA “IDEJU INSTITŪTS”, biedrību “I DID IT”, SIA “LETMO LTD”, biedrību “Rīgas </w:t>
            </w:r>
            <w:proofErr w:type="spellStart"/>
            <w:r w:rsidR="00923EAB" w:rsidRPr="00D609AA">
              <w:rPr>
                <w:bCs/>
                <w:color w:val="000000"/>
                <w:lang w:val="lv-LV"/>
              </w:rPr>
              <w:t>Mazjumprava</w:t>
            </w:r>
            <w:proofErr w:type="spellEnd"/>
            <w:r w:rsidR="00923EAB" w:rsidRPr="00D609AA">
              <w:rPr>
                <w:bCs/>
                <w:color w:val="000000"/>
                <w:lang w:val="lv-LV"/>
              </w:rPr>
              <w:t xml:space="preserve">”, SIA “PIENS FEST” </w:t>
            </w:r>
            <w:r w:rsidRPr="00D609AA">
              <w:rPr>
                <w:bCs/>
                <w:color w:val="000000"/>
                <w:lang w:val="lv-LV"/>
              </w:rPr>
              <w:t xml:space="preserve">(turpmāk – Kandidāts vai Kandidāti), </w:t>
            </w:r>
            <w:r w:rsidR="001A2EE2" w:rsidRPr="00D609AA">
              <w:rPr>
                <w:bCs/>
                <w:color w:val="000000"/>
                <w:lang w:val="lv-LV"/>
              </w:rPr>
              <w:t xml:space="preserve">kuri tika </w:t>
            </w:r>
            <w:r w:rsidRPr="00D609AA">
              <w:rPr>
                <w:bCs/>
                <w:color w:val="000000"/>
                <w:lang w:val="lv-LV"/>
              </w:rPr>
              <w:t xml:space="preserve">izvēlēti, jo </w:t>
            </w:r>
            <w:r w:rsidR="00923EAB" w:rsidRPr="00D609AA">
              <w:rPr>
                <w:bCs/>
                <w:color w:val="000000"/>
                <w:lang w:val="lv-LV"/>
              </w:rPr>
              <w:t xml:space="preserve">ar dažiem Kandidātiem Departamentam ir bijusi laba iepriekšējā sadarbības pieredze citos kultūras pasākumos (t.i., SIA “STORY HUB”, SIA “LETMO LTD”, SIA “IDEJU INSTITŪTS”, biedrība “I DID IT”) un/vai daži Kandidāti piedalījās Departamenta rīkotajā iepirkumā “Kultūras pasākumu organizēšanas pakalpojumi Rīgas vasaras kultūras programmas īstenošanai 2022. gadā” (identifikācijas numurs RD IKSD 2022/5), iesniedzot piedāvājumus 5., 7., 9., 10. daļā (t.i., SIA “LETMO LTD”, SIA “STORY HUB”, biedrība “Rīgas </w:t>
            </w:r>
            <w:proofErr w:type="spellStart"/>
            <w:r w:rsidR="00923EAB" w:rsidRPr="00D609AA">
              <w:rPr>
                <w:bCs/>
                <w:color w:val="000000"/>
                <w:lang w:val="lv-LV"/>
              </w:rPr>
              <w:t>Mazjumprava</w:t>
            </w:r>
            <w:proofErr w:type="spellEnd"/>
            <w:r w:rsidR="00923EAB" w:rsidRPr="00D609AA">
              <w:rPr>
                <w:bCs/>
                <w:color w:val="000000"/>
                <w:lang w:val="lv-LV"/>
              </w:rPr>
              <w:t>”, SIA “PIENS FEST”).</w:t>
            </w:r>
          </w:p>
          <w:p w14:paraId="1274F4C5" w14:textId="77777777" w:rsidR="008045DD" w:rsidRPr="00D609AA" w:rsidRDefault="008045DD" w:rsidP="00D134B4">
            <w:pPr>
              <w:contextualSpacing/>
              <w:jc w:val="both"/>
              <w:rPr>
                <w:lang w:val="lv-LV"/>
              </w:rPr>
            </w:pPr>
          </w:p>
        </w:tc>
      </w:tr>
      <w:tr w:rsidR="008045DD" w:rsidRPr="00D609AA" w14:paraId="6DD99F1C" w14:textId="77777777" w:rsidTr="00D134B4">
        <w:trPr>
          <w:trHeight w:val="6871"/>
        </w:trPr>
        <w:tc>
          <w:tcPr>
            <w:tcW w:w="0" w:type="auto"/>
          </w:tcPr>
          <w:p w14:paraId="1F03C9FB" w14:textId="77777777" w:rsidR="008045DD" w:rsidRPr="00D609AA" w:rsidRDefault="00755109" w:rsidP="00116BA7">
            <w:pPr>
              <w:jc w:val="both"/>
              <w:rPr>
                <w:rFonts w:cs="Arial"/>
                <w:lang w:val="lv-LV"/>
              </w:rPr>
            </w:pPr>
            <w:r w:rsidRPr="00D609AA">
              <w:rPr>
                <w:rFonts w:cs="Arial"/>
                <w:lang w:val="lv-LV"/>
              </w:rPr>
              <w:lastRenderedPageBreak/>
              <w:t>T</w:t>
            </w:r>
            <w:r w:rsidR="008045DD" w:rsidRPr="00D609AA">
              <w:rPr>
                <w:rFonts w:cs="Arial"/>
                <w:lang w:val="lv-LV"/>
              </w:rPr>
              <w:t>ā piegādātāja (vai piegādātāju) nosaukums, ar kuru (vai kuriem) nolemts slēgt iepirkuma līgumu, un piedāvātā līgumcena.</w:t>
            </w:r>
          </w:p>
        </w:tc>
        <w:tc>
          <w:tcPr>
            <w:tcW w:w="0" w:type="auto"/>
          </w:tcPr>
          <w:p w14:paraId="6B37EEE1" w14:textId="6EE833B4" w:rsidR="00D134B4" w:rsidRPr="00D609AA" w:rsidRDefault="008045DD" w:rsidP="00D134B4">
            <w:pPr>
              <w:jc w:val="both"/>
              <w:rPr>
                <w:bCs/>
                <w:color w:val="000000"/>
                <w:lang w:val="lv-LV"/>
              </w:rPr>
            </w:pPr>
            <w:r w:rsidRPr="00D609AA">
              <w:rPr>
                <w:lang w:val="lv-LV" w:eastAsia="ar-SA"/>
              </w:rPr>
              <w:t xml:space="preserve">Iepirkuma komisijas </w:t>
            </w:r>
            <w:r w:rsidR="00D134B4" w:rsidRPr="00D609AA">
              <w:rPr>
                <w:bCs/>
                <w:lang w:val="lv-LV" w:eastAsia="ar-SA"/>
              </w:rPr>
              <w:t>1</w:t>
            </w:r>
            <w:r w:rsidR="004450E0" w:rsidRPr="00D609AA">
              <w:rPr>
                <w:bCs/>
                <w:lang w:val="lv-LV" w:eastAsia="ar-SA"/>
              </w:rPr>
              <w:t>7</w:t>
            </w:r>
            <w:r w:rsidR="00D134B4" w:rsidRPr="00D609AA">
              <w:rPr>
                <w:bCs/>
                <w:lang w:val="lv-LV" w:eastAsia="ar-SA"/>
              </w:rPr>
              <w:t>.</w:t>
            </w:r>
            <w:r w:rsidR="004450E0" w:rsidRPr="00D609AA">
              <w:rPr>
                <w:bCs/>
                <w:lang w:val="lv-LV" w:eastAsia="ar-SA"/>
              </w:rPr>
              <w:t>06</w:t>
            </w:r>
            <w:r w:rsidR="00FC7042" w:rsidRPr="00D609AA">
              <w:rPr>
                <w:bCs/>
                <w:lang w:val="lv-LV" w:eastAsia="ar-SA"/>
              </w:rPr>
              <w:t>.202</w:t>
            </w:r>
            <w:r w:rsidR="004450E0" w:rsidRPr="00D609AA">
              <w:rPr>
                <w:bCs/>
                <w:lang w:val="lv-LV" w:eastAsia="ar-SA"/>
              </w:rPr>
              <w:t>2</w:t>
            </w:r>
            <w:r w:rsidRPr="00D609AA">
              <w:rPr>
                <w:bCs/>
                <w:lang w:val="lv-LV" w:eastAsia="ar-SA"/>
              </w:rPr>
              <w:t>. sēdē (protokols Nr.</w:t>
            </w:r>
            <w:r w:rsidR="00D134B4" w:rsidRPr="00D609AA">
              <w:rPr>
                <w:bCs/>
                <w:lang w:val="lv-LV" w:eastAsia="ar-SA"/>
              </w:rPr>
              <w:t>3</w:t>
            </w:r>
            <w:r w:rsidRPr="00D609AA">
              <w:rPr>
                <w:bCs/>
                <w:lang w:val="lv-LV" w:eastAsia="ar-SA"/>
              </w:rPr>
              <w:t>)</w:t>
            </w:r>
            <w:r w:rsidR="004450E0" w:rsidRPr="00D609AA">
              <w:rPr>
                <w:bCs/>
                <w:lang w:val="lv-LV" w:eastAsia="ar-SA"/>
              </w:rPr>
              <w:t xml:space="preserve"> un 20.06.2022. (protokols Nr.4)</w:t>
            </w:r>
            <w:r w:rsidRPr="00D609AA">
              <w:rPr>
                <w:bCs/>
                <w:lang w:val="lv-LV" w:eastAsia="ar-SA"/>
              </w:rPr>
              <w:t xml:space="preserve"> pieņemts </w:t>
            </w:r>
            <w:r w:rsidR="00FC7042" w:rsidRPr="00D609AA">
              <w:rPr>
                <w:bCs/>
                <w:lang w:val="lv-LV" w:eastAsia="ar-SA"/>
              </w:rPr>
              <w:t xml:space="preserve">lēmums </w:t>
            </w:r>
            <w:r w:rsidR="00D134B4" w:rsidRPr="00D609AA">
              <w:rPr>
                <w:bCs/>
                <w:lang w:val="lv-LV" w:eastAsia="ar-SA"/>
              </w:rPr>
              <w:t>p</w:t>
            </w:r>
            <w:r w:rsidR="00D134B4" w:rsidRPr="00D609AA">
              <w:rPr>
                <w:bCs/>
                <w:color w:val="000000"/>
                <w:lang w:val="lv-LV"/>
              </w:rPr>
              <w:t>iešķirt Departamenta sarunu procedūras “</w:t>
            </w:r>
            <w:r w:rsidR="00F3278A" w:rsidRPr="00D609AA">
              <w:rPr>
                <w:bCs/>
                <w:color w:val="000000"/>
                <w:lang w:val="lv-LV"/>
              </w:rPr>
              <w:t>Kultūras pasākumu organizēšanas pakalpojumi Rīgas vasaras kultūras programmas īstenošanai 2022. gadā</w:t>
            </w:r>
            <w:r w:rsidR="00D134B4" w:rsidRPr="00D609AA">
              <w:rPr>
                <w:bCs/>
                <w:color w:val="000000"/>
                <w:lang w:val="lv-LV"/>
              </w:rPr>
              <w:t>” (identifikācijas Nr. RD IKSD 202</w:t>
            </w:r>
            <w:r w:rsidR="00F3278A" w:rsidRPr="00D609AA">
              <w:rPr>
                <w:bCs/>
                <w:color w:val="000000"/>
                <w:lang w:val="lv-LV"/>
              </w:rPr>
              <w:t>2</w:t>
            </w:r>
            <w:r w:rsidR="00D134B4" w:rsidRPr="00D609AA">
              <w:rPr>
                <w:bCs/>
                <w:color w:val="000000"/>
                <w:lang w:val="lv-LV"/>
              </w:rPr>
              <w:t>/</w:t>
            </w:r>
            <w:r w:rsidR="00F3278A" w:rsidRPr="00D609AA">
              <w:rPr>
                <w:bCs/>
                <w:color w:val="000000"/>
                <w:lang w:val="lv-LV"/>
              </w:rPr>
              <w:t>9</w:t>
            </w:r>
            <w:r w:rsidR="00D134B4" w:rsidRPr="00D609AA">
              <w:rPr>
                <w:bCs/>
                <w:color w:val="000000"/>
                <w:lang w:val="lv-LV"/>
              </w:rPr>
              <w:t>) līgumu slēgšanas tiesības šādiem Kandidātiem šādās daļās:</w:t>
            </w:r>
          </w:p>
          <w:tbl>
            <w:tblPr>
              <w:tblW w:w="0" w:type="auto"/>
              <w:tblCellMar>
                <w:left w:w="0" w:type="dxa"/>
                <w:right w:w="0" w:type="dxa"/>
              </w:tblCellMar>
              <w:tblLook w:val="04A0" w:firstRow="1" w:lastRow="0" w:firstColumn="1" w:lastColumn="0" w:noHBand="0" w:noVBand="1"/>
            </w:tblPr>
            <w:tblGrid>
              <w:gridCol w:w="635"/>
              <w:gridCol w:w="2041"/>
              <w:gridCol w:w="1747"/>
              <w:gridCol w:w="1214"/>
              <w:gridCol w:w="1358"/>
            </w:tblGrid>
            <w:tr w:rsidR="001C5E31" w:rsidRPr="00D609AA" w14:paraId="6BB275A5" w14:textId="77777777" w:rsidTr="00213A18">
              <w:trPr>
                <w:trHeight w:val="516"/>
              </w:trPr>
              <w:tc>
                <w:tcPr>
                  <w:tcW w:w="0" w:type="auto"/>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14:paraId="5BD4300A" w14:textId="77777777" w:rsidR="00D134B4" w:rsidRPr="00D609AA" w:rsidRDefault="00D134B4" w:rsidP="00D134B4">
                  <w:pPr>
                    <w:spacing w:line="256" w:lineRule="auto"/>
                    <w:rPr>
                      <w:color w:val="212121"/>
                      <w:lang w:val="lv-LV" w:eastAsia="lv-LV"/>
                    </w:rPr>
                  </w:pPr>
                  <w:r w:rsidRPr="00D609AA">
                    <w:rPr>
                      <w:color w:val="212121"/>
                      <w:lang w:val="lv-LV"/>
                    </w:rPr>
                    <w:t>Daļas Nr.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43C4AC" w14:textId="77777777" w:rsidR="00D134B4" w:rsidRPr="00D609AA" w:rsidRDefault="00D134B4" w:rsidP="00D134B4">
                  <w:pPr>
                    <w:spacing w:line="256" w:lineRule="auto"/>
                    <w:rPr>
                      <w:color w:val="212121"/>
                      <w:lang w:val="lv-LV"/>
                    </w:rPr>
                  </w:pPr>
                  <w:r w:rsidRPr="00D609AA">
                    <w:rPr>
                      <w:color w:val="212121"/>
                      <w:lang w:val="lv-LV"/>
                    </w:rPr>
                    <w:t>Daļas nosaukums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DD00E8" w14:textId="5D7996FA" w:rsidR="00D134B4" w:rsidRPr="00D609AA" w:rsidRDefault="00D134B4" w:rsidP="00D134B4">
                  <w:pPr>
                    <w:spacing w:line="256" w:lineRule="auto"/>
                    <w:jc w:val="center"/>
                    <w:rPr>
                      <w:lang w:val="lv-LV"/>
                    </w:rPr>
                  </w:pPr>
                  <w:r w:rsidRPr="00D609AA">
                    <w:rPr>
                      <w:color w:val="212121"/>
                      <w:lang w:val="lv-LV"/>
                    </w:rPr>
                    <w:t>Kandidāta nosaukums</w:t>
                  </w:r>
                  <w:r w:rsidR="00F3278A" w:rsidRPr="00D609AA">
                    <w:rPr>
                      <w:color w:val="212121"/>
                      <w:lang w:val="lv-LV"/>
                    </w:rPr>
                    <w:t>, reģistrācijas Nr.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789906" w14:textId="58F72531" w:rsidR="00D134B4" w:rsidRPr="00D609AA" w:rsidRDefault="00F3278A" w:rsidP="00D134B4">
                  <w:pPr>
                    <w:spacing w:line="256" w:lineRule="auto"/>
                    <w:jc w:val="center"/>
                    <w:rPr>
                      <w:lang w:val="lv-LV"/>
                    </w:rPr>
                  </w:pPr>
                  <w:r w:rsidRPr="00D609AA">
                    <w:rPr>
                      <w:color w:val="212121"/>
                      <w:lang w:val="lv-LV"/>
                    </w:rPr>
                    <w:t>Piedāvātā līgumcena bez PVN, EUR</w:t>
                  </w:r>
                </w:p>
              </w:tc>
              <w:tc>
                <w:tcPr>
                  <w:tcW w:w="0" w:type="auto"/>
                  <w:tcBorders>
                    <w:top w:val="single" w:sz="4" w:space="0" w:color="auto"/>
                    <w:left w:val="single" w:sz="4" w:space="0" w:color="auto"/>
                    <w:bottom w:val="single" w:sz="4" w:space="0" w:color="auto"/>
                    <w:right w:val="single" w:sz="4" w:space="0" w:color="auto"/>
                  </w:tcBorders>
                </w:tcPr>
                <w:p w14:paraId="029365BB" w14:textId="7D5A7875" w:rsidR="00D134B4" w:rsidRPr="00D609AA" w:rsidRDefault="00F3278A" w:rsidP="00D134B4">
                  <w:pPr>
                    <w:spacing w:line="256" w:lineRule="auto"/>
                    <w:jc w:val="center"/>
                    <w:rPr>
                      <w:color w:val="212121"/>
                      <w:lang w:val="lv-LV"/>
                    </w:rPr>
                  </w:pPr>
                  <w:r w:rsidRPr="00D609AA">
                    <w:rPr>
                      <w:color w:val="212121"/>
                      <w:lang w:val="lv-LV"/>
                    </w:rPr>
                    <w:t>Lēmuma pieņemšanas datums</w:t>
                  </w:r>
                </w:p>
              </w:tc>
            </w:tr>
            <w:tr w:rsidR="001C5E31" w:rsidRPr="00D609AA" w14:paraId="32ED7152" w14:textId="77777777" w:rsidTr="00F3278A">
              <w:trPr>
                <w:trHeight w:val="516"/>
              </w:trPr>
              <w:tc>
                <w:tcPr>
                  <w:tcW w:w="0" w:type="auto"/>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14:paraId="13EA96CB" w14:textId="77777777" w:rsidR="00F3278A" w:rsidRPr="00D609AA" w:rsidRDefault="00F3278A" w:rsidP="00F3278A">
                  <w:pPr>
                    <w:rPr>
                      <w:rFonts w:eastAsia="Calibri"/>
                      <w:color w:val="000000"/>
                      <w:sz w:val="16"/>
                      <w:szCs w:val="16"/>
                      <w:lang w:val="lv-LV"/>
                    </w:rPr>
                  </w:pPr>
                </w:p>
                <w:p w14:paraId="38583C6C" w14:textId="29A7AEC2" w:rsidR="00F3278A" w:rsidRPr="00D609AA" w:rsidRDefault="00F3278A" w:rsidP="00F3278A">
                  <w:pPr>
                    <w:spacing w:line="256" w:lineRule="auto"/>
                    <w:rPr>
                      <w:color w:val="212121"/>
                      <w:lang w:val="lv-LV"/>
                    </w:rPr>
                  </w:pPr>
                  <w:r w:rsidRPr="00D609AA">
                    <w:rPr>
                      <w:rFonts w:eastAsia="Calibri"/>
                      <w:color w:val="000000"/>
                      <w:lang w:val="lv-LV"/>
                    </w:rPr>
                    <w:t>1.daļa</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12C0FF" w14:textId="0065DE0C" w:rsidR="00F3278A" w:rsidRPr="00D609AA" w:rsidRDefault="00F3278A" w:rsidP="00F3278A">
                  <w:pPr>
                    <w:spacing w:line="256" w:lineRule="auto"/>
                    <w:rPr>
                      <w:color w:val="212121"/>
                      <w:lang w:val="lv-LV"/>
                    </w:rPr>
                  </w:pPr>
                  <w:r w:rsidRPr="00D609AA">
                    <w:rPr>
                      <w:rFonts w:eastAsia="Calibri"/>
                      <w:color w:val="000000"/>
                      <w:lang w:val="lv-LV"/>
                    </w:rPr>
                    <w:t>Bolderājas apkaimes svētki 30. jūlijā</w:t>
                  </w:r>
                </w:p>
              </w:tc>
              <w:tc>
                <w:tcPr>
                  <w:tcW w:w="0" w:type="auto"/>
                  <w:tcBorders>
                    <w:top w:val="single" w:sz="8"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82AE3B" w14:textId="43419A44" w:rsidR="00F3278A" w:rsidRPr="00D609AA" w:rsidRDefault="00F3278A" w:rsidP="001C5E31">
                  <w:pPr>
                    <w:spacing w:line="256" w:lineRule="auto"/>
                    <w:jc w:val="center"/>
                    <w:rPr>
                      <w:rFonts w:eastAsia="Calibri"/>
                      <w:color w:val="000000"/>
                      <w:lang w:val="lv-LV"/>
                    </w:rPr>
                  </w:pPr>
                  <w:r w:rsidRPr="00D609AA">
                    <w:rPr>
                      <w:rFonts w:eastAsia="Calibri"/>
                      <w:color w:val="000000"/>
                      <w:lang w:val="lv-LV"/>
                    </w:rPr>
                    <w:t>Biedrība “I DID IT”</w:t>
                  </w:r>
                  <w:r w:rsidR="001C5E31" w:rsidRPr="00D609AA">
                    <w:rPr>
                      <w:rFonts w:eastAsia="Calibri"/>
                      <w:color w:val="000000"/>
                      <w:lang w:val="lv-LV"/>
                    </w:rPr>
                    <w:t xml:space="preserve"> (</w:t>
                  </w:r>
                  <w:proofErr w:type="spellStart"/>
                  <w:r w:rsidR="001C5E31" w:rsidRPr="00D609AA">
                    <w:rPr>
                      <w:rFonts w:eastAsia="Calibri"/>
                      <w:color w:val="000000"/>
                      <w:lang w:val="lv-LV"/>
                    </w:rPr>
                    <w:t>reģ</w:t>
                  </w:r>
                  <w:proofErr w:type="spellEnd"/>
                  <w:r w:rsidR="001C5E31" w:rsidRPr="00D609AA">
                    <w:rPr>
                      <w:rFonts w:eastAsia="Calibri"/>
                      <w:color w:val="000000"/>
                      <w:lang w:val="lv-LV"/>
                    </w:rPr>
                    <w:t>. Nr. 40008161254)</w:t>
                  </w:r>
                </w:p>
              </w:tc>
              <w:tc>
                <w:tcPr>
                  <w:tcW w:w="0" w:type="auto"/>
                  <w:tcBorders>
                    <w:top w:val="single" w:sz="8"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630518" w14:textId="0AAC3E21" w:rsidR="00F3278A" w:rsidRPr="00D609AA" w:rsidRDefault="00F3278A" w:rsidP="00F3278A">
                  <w:pPr>
                    <w:spacing w:line="256" w:lineRule="auto"/>
                    <w:jc w:val="center"/>
                    <w:rPr>
                      <w:color w:val="212121"/>
                      <w:lang w:val="lv-LV"/>
                    </w:rPr>
                  </w:pPr>
                  <w:r w:rsidRPr="00D609AA">
                    <w:rPr>
                      <w:color w:val="000000"/>
                      <w:lang w:val="lv-LV"/>
                    </w:rPr>
                    <w:t>44 449.30</w:t>
                  </w:r>
                </w:p>
              </w:tc>
              <w:tc>
                <w:tcPr>
                  <w:tcW w:w="0" w:type="auto"/>
                  <w:tcBorders>
                    <w:top w:val="single" w:sz="4" w:space="0" w:color="auto"/>
                    <w:left w:val="single" w:sz="4" w:space="0" w:color="auto"/>
                    <w:bottom w:val="single" w:sz="4" w:space="0" w:color="auto"/>
                    <w:right w:val="single" w:sz="4" w:space="0" w:color="auto"/>
                  </w:tcBorders>
                  <w:vAlign w:val="center"/>
                </w:tcPr>
                <w:p w14:paraId="6FB45415" w14:textId="77777777" w:rsidR="00F3278A" w:rsidRPr="00D609AA" w:rsidRDefault="00F3278A" w:rsidP="00F3278A">
                  <w:pPr>
                    <w:rPr>
                      <w:rFonts w:eastAsia="Calibri"/>
                      <w:color w:val="000000"/>
                      <w:sz w:val="16"/>
                      <w:szCs w:val="16"/>
                      <w:lang w:val="lv-LV"/>
                    </w:rPr>
                  </w:pPr>
                </w:p>
                <w:p w14:paraId="77C746A0" w14:textId="58262826" w:rsidR="00F3278A" w:rsidRPr="00D609AA" w:rsidRDefault="00F3278A" w:rsidP="00F3278A">
                  <w:pPr>
                    <w:spacing w:line="256" w:lineRule="auto"/>
                    <w:jc w:val="center"/>
                    <w:rPr>
                      <w:color w:val="212121"/>
                      <w:lang w:val="lv-LV"/>
                    </w:rPr>
                  </w:pPr>
                  <w:r w:rsidRPr="00D609AA">
                    <w:rPr>
                      <w:rFonts w:eastAsia="Calibri"/>
                      <w:color w:val="000000"/>
                      <w:lang w:val="lv-LV"/>
                    </w:rPr>
                    <w:t>17.06.2022.</w:t>
                  </w:r>
                </w:p>
              </w:tc>
            </w:tr>
            <w:tr w:rsidR="001C5E31" w:rsidRPr="00D609AA" w14:paraId="278ACDF7" w14:textId="77777777" w:rsidTr="00F3278A">
              <w:trPr>
                <w:trHeight w:val="516"/>
              </w:trPr>
              <w:tc>
                <w:tcPr>
                  <w:tcW w:w="0" w:type="auto"/>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14:paraId="5B13F0E5" w14:textId="77777777" w:rsidR="00F3278A" w:rsidRPr="00D609AA" w:rsidRDefault="00F3278A" w:rsidP="00F3278A">
                  <w:pPr>
                    <w:rPr>
                      <w:rFonts w:eastAsia="Calibri"/>
                      <w:color w:val="000000"/>
                      <w:sz w:val="10"/>
                      <w:szCs w:val="10"/>
                      <w:lang w:val="lv-LV"/>
                    </w:rPr>
                  </w:pPr>
                </w:p>
                <w:p w14:paraId="5A2120BE" w14:textId="270D5F9A" w:rsidR="00F3278A" w:rsidRPr="00D609AA" w:rsidRDefault="00F3278A" w:rsidP="00F3278A">
                  <w:pPr>
                    <w:spacing w:line="256" w:lineRule="auto"/>
                    <w:rPr>
                      <w:color w:val="212121"/>
                      <w:lang w:val="lv-LV"/>
                    </w:rPr>
                  </w:pPr>
                  <w:r w:rsidRPr="00D609AA">
                    <w:rPr>
                      <w:rFonts w:eastAsia="Calibri"/>
                      <w:color w:val="000000"/>
                      <w:lang w:val="lv-LV"/>
                    </w:rPr>
                    <w:t>2.daļa</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F1FD94" w14:textId="3545297D" w:rsidR="00F3278A" w:rsidRPr="00D609AA" w:rsidRDefault="00F3278A" w:rsidP="00F3278A">
                  <w:pPr>
                    <w:spacing w:line="256" w:lineRule="auto"/>
                    <w:rPr>
                      <w:color w:val="212121"/>
                      <w:lang w:val="lv-LV"/>
                    </w:rPr>
                  </w:pPr>
                  <w:r w:rsidRPr="00D609AA">
                    <w:rPr>
                      <w:rFonts w:eastAsia="Calibri"/>
                      <w:color w:val="000000"/>
                      <w:lang w:val="lv-LV"/>
                    </w:rPr>
                    <w:t xml:space="preserve">Maskavas </w:t>
                  </w:r>
                  <w:proofErr w:type="spellStart"/>
                  <w:r w:rsidRPr="00D609AA">
                    <w:rPr>
                      <w:rFonts w:eastAsia="Calibri"/>
                      <w:color w:val="000000"/>
                      <w:lang w:val="lv-LV"/>
                    </w:rPr>
                    <w:t>forštates</w:t>
                  </w:r>
                  <w:proofErr w:type="spellEnd"/>
                  <w:r w:rsidRPr="00D609AA">
                    <w:rPr>
                      <w:rFonts w:eastAsia="Calibri"/>
                      <w:color w:val="000000"/>
                      <w:lang w:val="lv-LV"/>
                    </w:rPr>
                    <w:t xml:space="preserve"> apkaimju svētki 6. augustā</w:t>
                  </w:r>
                </w:p>
              </w:tc>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99E777" w14:textId="3E0146F3" w:rsidR="00F3278A" w:rsidRPr="00D609AA" w:rsidRDefault="00F3278A" w:rsidP="00F3278A">
                  <w:pPr>
                    <w:spacing w:line="256" w:lineRule="auto"/>
                    <w:jc w:val="center"/>
                    <w:rPr>
                      <w:color w:val="212121"/>
                      <w:lang w:val="lv-LV"/>
                    </w:rPr>
                  </w:pPr>
                  <w:r w:rsidRPr="00D609AA">
                    <w:rPr>
                      <w:rFonts w:eastAsia="Calibri"/>
                      <w:color w:val="000000"/>
                      <w:lang w:val="lv-LV"/>
                    </w:rPr>
                    <w:t>SIA “STORY HUB”</w:t>
                  </w:r>
                  <w:r w:rsidR="001C5E31" w:rsidRPr="00D609AA">
                    <w:rPr>
                      <w:rFonts w:eastAsia="Calibri"/>
                      <w:color w:val="000000"/>
                      <w:lang w:val="lv-LV"/>
                    </w:rPr>
                    <w:t xml:space="preserve"> (</w:t>
                  </w:r>
                  <w:proofErr w:type="spellStart"/>
                  <w:r w:rsidR="001C5E31" w:rsidRPr="00D609AA">
                    <w:rPr>
                      <w:rFonts w:eastAsia="Calibri"/>
                      <w:color w:val="000000"/>
                      <w:lang w:val="lv-LV"/>
                    </w:rPr>
                    <w:t>reģ</w:t>
                  </w:r>
                  <w:proofErr w:type="spellEnd"/>
                  <w:r w:rsidR="001C5E31" w:rsidRPr="00D609AA">
                    <w:rPr>
                      <w:rFonts w:eastAsia="Calibri"/>
                      <w:color w:val="000000"/>
                      <w:lang w:val="lv-LV"/>
                    </w:rPr>
                    <w:t>. Nr. 40103989603)</w:t>
                  </w:r>
                </w:p>
              </w:tc>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518BC1" w14:textId="55313573" w:rsidR="00F3278A" w:rsidRPr="00D609AA" w:rsidRDefault="00F3278A" w:rsidP="00F3278A">
                  <w:pPr>
                    <w:spacing w:line="256" w:lineRule="auto"/>
                    <w:jc w:val="center"/>
                    <w:rPr>
                      <w:color w:val="212121"/>
                      <w:lang w:val="lv-LV"/>
                    </w:rPr>
                  </w:pPr>
                  <w:r w:rsidRPr="00D609AA">
                    <w:rPr>
                      <w:color w:val="000000"/>
                      <w:shd w:val="clear" w:color="auto" w:fill="FFFFFF"/>
                      <w:lang w:val="lv-LV"/>
                    </w:rPr>
                    <w:t>52 450.00</w:t>
                  </w:r>
                </w:p>
              </w:tc>
              <w:tc>
                <w:tcPr>
                  <w:tcW w:w="0" w:type="auto"/>
                  <w:tcBorders>
                    <w:top w:val="single" w:sz="4" w:space="0" w:color="auto"/>
                    <w:left w:val="single" w:sz="4" w:space="0" w:color="auto"/>
                    <w:bottom w:val="single" w:sz="4" w:space="0" w:color="auto"/>
                    <w:right w:val="single" w:sz="4" w:space="0" w:color="auto"/>
                  </w:tcBorders>
                  <w:vAlign w:val="center"/>
                </w:tcPr>
                <w:p w14:paraId="0F6B6EEA" w14:textId="3747E6FD" w:rsidR="00F3278A" w:rsidRPr="00D609AA" w:rsidRDefault="00F3278A" w:rsidP="00F3278A">
                  <w:pPr>
                    <w:spacing w:line="256" w:lineRule="auto"/>
                    <w:jc w:val="center"/>
                    <w:rPr>
                      <w:color w:val="212121"/>
                      <w:lang w:val="lv-LV"/>
                    </w:rPr>
                  </w:pPr>
                  <w:r w:rsidRPr="00D609AA">
                    <w:rPr>
                      <w:lang w:val="lv-LV"/>
                    </w:rPr>
                    <w:t>17.06.2022.</w:t>
                  </w:r>
                </w:p>
              </w:tc>
            </w:tr>
            <w:tr w:rsidR="001C5E31" w:rsidRPr="00D609AA" w14:paraId="73632683" w14:textId="77777777" w:rsidTr="00F3278A">
              <w:trPr>
                <w:trHeight w:val="516"/>
              </w:trPr>
              <w:tc>
                <w:tcPr>
                  <w:tcW w:w="0" w:type="auto"/>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14:paraId="2E3045DE" w14:textId="77777777" w:rsidR="00F3278A" w:rsidRPr="00D609AA" w:rsidRDefault="00F3278A" w:rsidP="00F3278A">
                  <w:pPr>
                    <w:rPr>
                      <w:rFonts w:eastAsia="Calibri"/>
                      <w:color w:val="000000"/>
                      <w:sz w:val="10"/>
                      <w:szCs w:val="10"/>
                      <w:lang w:val="lv-LV"/>
                    </w:rPr>
                  </w:pPr>
                </w:p>
                <w:p w14:paraId="130C5719" w14:textId="0CF5145E" w:rsidR="00F3278A" w:rsidRPr="00D609AA" w:rsidRDefault="00F3278A" w:rsidP="00F3278A">
                  <w:pPr>
                    <w:spacing w:line="256" w:lineRule="auto"/>
                    <w:rPr>
                      <w:color w:val="212121"/>
                      <w:lang w:val="lv-LV"/>
                    </w:rPr>
                  </w:pPr>
                  <w:r w:rsidRPr="00D609AA">
                    <w:rPr>
                      <w:rFonts w:eastAsia="Calibri"/>
                      <w:color w:val="000000"/>
                      <w:lang w:val="lv-LV"/>
                    </w:rPr>
                    <w:t>3.daļa</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760FCE" w14:textId="76176298" w:rsidR="00F3278A" w:rsidRPr="00D609AA" w:rsidRDefault="00F3278A" w:rsidP="00F3278A">
                  <w:pPr>
                    <w:spacing w:line="256" w:lineRule="auto"/>
                    <w:rPr>
                      <w:color w:val="212121"/>
                      <w:lang w:val="lv-LV"/>
                    </w:rPr>
                  </w:pPr>
                  <w:r w:rsidRPr="00D609AA">
                    <w:rPr>
                      <w:rFonts w:eastAsia="Calibri"/>
                      <w:color w:val="000000"/>
                      <w:lang w:val="lv-LV"/>
                    </w:rPr>
                    <w:t>Imantas apkaimju svētki  20. augustā</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4934BD" w14:textId="41EB1D1E" w:rsidR="00F3278A" w:rsidRPr="00D609AA" w:rsidRDefault="00F3278A" w:rsidP="00F3278A">
                  <w:pPr>
                    <w:spacing w:line="256" w:lineRule="auto"/>
                    <w:jc w:val="center"/>
                    <w:rPr>
                      <w:color w:val="212121"/>
                      <w:lang w:val="lv-LV"/>
                    </w:rPr>
                  </w:pPr>
                  <w:r w:rsidRPr="00D609AA">
                    <w:rPr>
                      <w:rFonts w:eastAsia="Calibri"/>
                      <w:color w:val="000000"/>
                      <w:lang w:val="lv-LV"/>
                    </w:rPr>
                    <w:t>SIA “STORY HUB”</w:t>
                  </w:r>
                  <w:r w:rsidR="001C5E31" w:rsidRPr="00D609AA">
                    <w:rPr>
                      <w:rFonts w:eastAsia="Calibri"/>
                      <w:color w:val="000000"/>
                      <w:lang w:val="lv-LV"/>
                    </w:rPr>
                    <w:t xml:space="preserve"> (</w:t>
                  </w:r>
                  <w:proofErr w:type="spellStart"/>
                  <w:r w:rsidR="001C5E31" w:rsidRPr="00D609AA">
                    <w:rPr>
                      <w:rFonts w:eastAsia="Calibri"/>
                      <w:color w:val="000000"/>
                      <w:lang w:val="lv-LV"/>
                    </w:rPr>
                    <w:t>reģ</w:t>
                  </w:r>
                  <w:proofErr w:type="spellEnd"/>
                  <w:r w:rsidR="001C5E31" w:rsidRPr="00D609AA">
                    <w:rPr>
                      <w:rFonts w:eastAsia="Calibri"/>
                      <w:color w:val="000000"/>
                      <w:lang w:val="lv-LV"/>
                    </w:rPr>
                    <w:t>. Nr. 40103989603)</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792DE0" w14:textId="3F833731" w:rsidR="00F3278A" w:rsidRPr="00D609AA" w:rsidRDefault="00F3278A" w:rsidP="00F3278A">
                  <w:pPr>
                    <w:spacing w:line="256" w:lineRule="auto"/>
                    <w:jc w:val="center"/>
                    <w:rPr>
                      <w:color w:val="212121"/>
                      <w:lang w:val="lv-LV"/>
                    </w:rPr>
                  </w:pPr>
                  <w:r w:rsidRPr="00D609AA">
                    <w:rPr>
                      <w:lang w:val="lv-LV"/>
                    </w:rPr>
                    <w:t>53 670.00</w:t>
                  </w:r>
                </w:p>
              </w:tc>
              <w:tc>
                <w:tcPr>
                  <w:tcW w:w="0" w:type="auto"/>
                  <w:tcBorders>
                    <w:top w:val="single" w:sz="4" w:space="0" w:color="auto"/>
                    <w:left w:val="single" w:sz="4" w:space="0" w:color="auto"/>
                    <w:bottom w:val="single" w:sz="4" w:space="0" w:color="auto"/>
                    <w:right w:val="single" w:sz="4" w:space="0" w:color="auto"/>
                  </w:tcBorders>
                  <w:vAlign w:val="center"/>
                </w:tcPr>
                <w:p w14:paraId="1DE19D7A" w14:textId="1CBF7990" w:rsidR="00F3278A" w:rsidRPr="00D609AA" w:rsidRDefault="00F3278A" w:rsidP="00F3278A">
                  <w:pPr>
                    <w:spacing w:line="256" w:lineRule="auto"/>
                    <w:jc w:val="center"/>
                    <w:rPr>
                      <w:color w:val="212121"/>
                      <w:lang w:val="lv-LV"/>
                    </w:rPr>
                  </w:pPr>
                  <w:r w:rsidRPr="00D609AA">
                    <w:rPr>
                      <w:lang w:val="lv-LV"/>
                    </w:rPr>
                    <w:t>17.06.2022.</w:t>
                  </w:r>
                </w:p>
              </w:tc>
            </w:tr>
            <w:tr w:rsidR="001C5E31" w:rsidRPr="00D609AA" w14:paraId="2966D99B" w14:textId="77777777" w:rsidTr="00F3278A">
              <w:trPr>
                <w:trHeight w:val="516"/>
              </w:trPr>
              <w:tc>
                <w:tcPr>
                  <w:tcW w:w="0" w:type="auto"/>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14:paraId="36F5262A" w14:textId="77777777" w:rsidR="00F3278A" w:rsidRPr="00D609AA" w:rsidRDefault="00F3278A" w:rsidP="00F3278A">
                  <w:pPr>
                    <w:rPr>
                      <w:rFonts w:eastAsia="Calibri"/>
                      <w:color w:val="212121"/>
                      <w:sz w:val="10"/>
                      <w:szCs w:val="10"/>
                      <w:lang w:val="lv-LV"/>
                    </w:rPr>
                  </w:pPr>
                </w:p>
                <w:p w14:paraId="3DC95D96" w14:textId="75C5F5CB" w:rsidR="00F3278A" w:rsidRPr="00D609AA" w:rsidRDefault="00F3278A" w:rsidP="00F3278A">
                  <w:pPr>
                    <w:spacing w:line="256" w:lineRule="auto"/>
                    <w:rPr>
                      <w:color w:val="212121"/>
                      <w:lang w:val="lv-LV"/>
                    </w:rPr>
                  </w:pPr>
                  <w:r w:rsidRPr="00D609AA">
                    <w:rPr>
                      <w:rFonts w:eastAsia="Calibri"/>
                      <w:color w:val="212121"/>
                      <w:lang w:val="lv-LV"/>
                    </w:rPr>
                    <w:t>4.daļa</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180FD7" w14:textId="5147C4B7" w:rsidR="00F3278A" w:rsidRPr="00D609AA" w:rsidRDefault="00F3278A" w:rsidP="00F3278A">
                  <w:pPr>
                    <w:spacing w:line="256" w:lineRule="auto"/>
                    <w:rPr>
                      <w:color w:val="212121"/>
                      <w:lang w:val="lv-LV"/>
                    </w:rPr>
                  </w:pPr>
                  <w:r w:rsidRPr="00D609AA">
                    <w:rPr>
                      <w:rFonts w:eastAsia="Calibri"/>
                      <w:color w:val="212121"/>
                      <w:lang w:val="lv-LV"/>
                    </w:rPr>
                    <w:t>Prieka mirkļu parks Vērmanes dārzā no 1. jūlija līdz 28. augustam</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24AED4" w14:textId="007877C3" w:rsidR="00F3278A" w:rsidRPr="00D609AA" w:rsidRDefault="00F3278A" w:rsidP="00F3278A">
                  <w:pPr>
                    <w:spacing w:line="256" w:lineRule="auto"/>
                    <w:jc w:val="center"/>
                    <w:rPr>
                      <w:color w:val="212121"/>
                      <w:lang w:val="lv-LV"/>
                    </w:rPr>
                  </w:pPr>
                  <w:r w:rsidRPr="00D609AA">
                    <w:rPr>
                      <w:rFonts w:eastAsia="Calibri"/>
                      <w:color w:val="000000"/>
                      <w:lang w:val="lv-LV"/>
                    </w:rPr>
                    <w:t>SIA “PIENS FEST”</w:t>
                  </w:r>
                  <w:r w:rsidR="001C5E31" w:rsidRPr="00D609AA">
                    <w:rPr>
                      <w:rFonts w:eastAsia="Calibri"/>
                      <w:color w:val="000000"/>
                      <w:lang w:val="lv-LV"/>
                    </w:rPr>
                    <w:t xml:space="preserve"> (</w:t>
                  </w:r>
                  <w:proofErr w:type="spellStart"/>
                  <w:r w:rsidR="001C5E31" w:rsidRPr="00D609AA">
                    <w:rPr>
                      <w:rFonts w:eastAsia="Calibri"/>
                      <w:color w:val="000000"/>
                      <w:lang w:val="lv-LV"/>
                    </w:rPr>
                    <w:t>reģ</w:t>
                  </w:r>
                  <w:proofErr w:type="spellEnd"/>
                  <w:r w:rsidR="001C5E31" w:rsidRPr="00D609AA">
                    <w:rPr>
                      <w:rFonts w:eastAsia="Calibri"/>
                      <w:color w:val="000000"/>
                      <w:lang w:val="lv-LV"/>
                    </w:rPr>
                    <w:t>. Nr. 40103719801)</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53E171" w14:textId="15D5C9FD" w:rsidR="00F3278A" w:rsidRPr="00D609AA" w:rsidRDefault="00F3278A" w:rsidP="00F3278A">
                  <w:pPr>
                    <w:spacing w:line="256" w:lineRule="auto"/>
                    <w:jc w:val="center"/>
                    <w:rPr>
                      <w:color w:val="212121"/>
                      <w:lang w:val="lv-LV"/>
                    </w:rPr>
                  </w:pPr>
                  <w:r w:rsidRPr="00D609AA">
                    <w:rPr>
                      <w:lang w:val="lv-LV"/>
                    </w:rPr>
                    <w:t>57 851.00</w:t>
                  </w:r>
                </w:p>
              </w:tc>
              <w:tc>
                <w:tcPr>
                  <w:tcW w:w="0" w:type="auto"/>
                  <w:tcBorders>
                    <w:top w:val="single" w:sz="4" w:space="0" w:color="auto"/>
                    <w:left w:val="single" w:sz="4" w:space="0" w:color="auto"/>
                    <w:bottom w:val="single" w:sz="4" w:space="0" w:color="auto"/>
                    <w:right w:val="single" w:sz="4" w:space="0" w:color="auto"/>
                  </w:tcBorders>
                  <w:vAlign w:val="center"/>
                </w:tcPr>
                <w:p w14:paraId="39FC9181" w14:textId="42A02562" w:rsidR="00F3278A" w:rsidRPr="00D609AA" w:rsidRDefault="00F3278A" w:rsidP="00F3278A">
                  <w:pPr>
                    <w:spacing w:line="256" w:lineRule="auto"/>
                    <w:jc w:val="center"/>
                    <w:rPr>
                      <w:color w:val="212121"/>
                      <w:lang w:val="lv-LV"/>
                    </w:rPr>
                  </w:pPr>
                  <w:r w:rsidRPr="00D609AA">
                    <w:rPr>
                      <w:lang w:val="lv-LV"/>
                    </w:rPr>
                    <w:t>17.06.2022.</w:t>
                  </w:r>
                </w:p>
              </w:tc>
            </w:tr>
            <w:tr w:rsidR="001C5E31" w:rsidRPr="00D609AA" w14:paraId="679FB87F" w14:textId="77777777" w:rsidTr="00ED7474">
              <w:trPr>
                <w:trHeight w:val="972"/>
              </w:trPr>
              <w:tc>
                <w:tcPr>
                  <w:tcW w:w="0" w:type="auto"/>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hideMark/>
                </w:tcPr>
                <w:p w14:paraId="7290902D" w14:textId="77777777" w:rsidR="00F3278A" w:rsidRPr="00D609AA" w:rsidRDefault="00F3278A" w:rsidP="00F3278A">
                  <w:pPr>
                    <w:rPr>
                      <w:rFonts w:eastAsia="Calibri"/>
                      <w:color w:val="000000"/>
                      <w:lang w:val="lv-LV"/>
                    </w:rPr>
                  </w:pPr>
                </w:p>
                <w:p w14:paraId="69B6DDAE" w14:textId="2EF7FAD8" w:rsidR="00F3278A" w:rsidRPr="00D609AA" w:rsidRDefault="00F3278A" w:rsidP="00F3278A">
                  <w:pPr>
                    <w:spacing w:line="256" w:lineRule="auto"/>
                    <w:rPr>
                      <w:color w:val="212121"/>
                      <w:lang w:val="lv-LV"/>
                    </w:rPr>
                  </w:pPr>
                  <w:r w:rsidRPr="00D609AA">
                    <w:rPr>
                      <w:rFonts w:eastAsia="Calibri"/>
                      <w:color w:val="000000"/>
                      <w:lang w:val="lv-LV"/>
                    </w:rPr>
                    <w:t>5.daļa</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635C44" w14:textId="2B324957" w:rsidR="00F3278A" w:rsidRPr="00D609AA" w:rsidRDefault="00F3278A" w:rsidP="00F3278A">
                  <w:pPr>
                    <w:spacing w:line="256" w:lineRule="auto"/>
                    <w:rPr>
                      <w:color w:val="212121"/>
                      <w:lang w:val="lv-LV"/>
                    </w:rPr>
                  </w:pPr>
                  <w:r w:rsidRPr="00D609AA">
                    <w:rPr>
                      <w:rFonts w:eastAsia="Calibri"/>
                      <w:color w:val="000000"/>
                      <w:lang w:val="lv-LV"/>
                    </w:rPr>
                    <w:t xml:space="preserve">Prieka mirkļi Ķengaraga promenādē un </w:t>
                  </w:r>
                  <w:proofErr w:type="spellStart"/>
                  <w:r w:rsidRPr="00D609AA">
                    <w:rPr>
                      <w:rFonts w:eastAsia="Calibri"/>
                      <w:color w:val="000000"/>
                      <w:lang w:val="lv-LV"/>
                    </w:rPr>
                    <w:t>Mazjumpravas</w:t>
                  </w:r>
                  <w:proofErr w:type="spellEnd"/>
                  <w:r w:rsidRPr="00D609AA">
                    <w:rPr>
                      <w:rFonts w:eastAsia="Calibri"/>
                      <w:color w:val="000000"/>
                      <w:lang w:val="lv-LV"/>
                    </w:rPr>
                    <w:t xml:space="preserve"> muižas dārza no 1. jūlija līdz 28. augustam</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D76071" w14:textId="7EF26ADA" w:rsidR="00F3278A" w:rsidRPr="00D609AA" w:rsidRDefault="00F3278A" w:rsidP="00F3278A">
                  <w:pPr>
                    <w:spacing w:line="256" w:lineRule="auto"/>
                    <w:jc w:val="center"/>
                    <w:rPr>
                      <w:color w:val="212121"/>
                      <w:lang w:val="lv-LV"/>
                    </w:rPr>
                  </w:pPr>
                  <w:r w:rsidRPr="00D609AA">
                    <w:rPr>
                      <w:rFonts w:eastAsia="Calibri"/>
                      <w:color w:val="000000"/>
                      <w:lang w:val="lv-LV"/>
                    </w:rPr>
                    <w:t xml:space="preserve">Biedrība "Rīgas </w:t>
                  </w:r>
                  <w:proofErr w:type="spellStart"/>
                  <w:r w:rsidRPr="00D609AA">
                    <w:rPr>
                      <w:rFonts w:eastAsia="Calibri"/>
                      <w:color w:val="000000"/>
                      <w:lang w:val="lv-LV"/>
                    </w:rPr>
                    <w:t>Mazjumprava</w:t>
                  </w:r>
                  <w:proofErr w:type="spellEnd"/>
                  <w:r w:rsidRPr="00D609AA">
                    <w:rPr>
                      <w:rFonts w:eastAsia="Calibri"/>
                      <w:color w:val="000000"/>
                      <w:lang w:val="lv-LV"/>
                    </w:rPr>
                    <w:t>"</w:t>
                  </w:r>
                  <w:r w:rsidR="001C5E31" w:rsidRPr="00D609AA">
                    <w:rPr>
                      <w:rFonts w:eastAsia="Calibri"/>
                      <w:color w:val="000000"/>
                      <w:lang w:val="lv-LV"/>
                    </w:rPr>
                    <w:t xml:space="preserve"> (</w:t>
                  </w:r>
                  <w:proofErr w:type="spellStart"/>
                  <w:r w:rsidR="001C5E31" w:rsidRPr="00D609AA">
                    <w:rPr>
                      <w:rFonts w:eastAsia="Calibri"/>
                      <w:color w:val="000000"/>
                      <w:lang w:val="lv-LV"/>
                    </w:rPr>
                    <w:t>reģ</w:t>
                  </w:r>
                  <w:proofErr w:type="spellEnd"/>
                  <w:r w:rsidR="001C5E31" w:rsidRPr="00D609AA">
                    <w:rPr>
                      <w:rFonts w:eastAsia="Calibri"/>
                      <w:color w:val="000000"/>
                      <w:lang w:val="lv-LV"/>
                    </w:rPr>
                    <w:t>. Nr. 40008294237)</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9B8A52" w14:textId="18F48AA8" w:rsidR="00F3278A" w:rsidRPr="00D609AA" w:rsidRDefault="00F3278A" w:rsidP="00F3278A">
                  <w:pPr>
                    <w:spacing w:line="256" w:lineRule="auto"/>
                    <w:jc w:val="center"/>
                    <w:rPr>
                      <w:color w:val="212121"/>
                      <w:lang w:val="lv-LV"/>
                    </w:rPr>
                  </w:pPr>
                  <w:r w:rsidRPr="00D609AA">
                    <w:rPr>
                      <w:lang w:val="lv-LV"/>
                    </w:rPr>
                    <w:t>66 655.00</w:t>
                  </w:r>
                </w:p>
              </w:tc>
              <w:tc>
                <w:tcPr>
                  <w:tcW w:w="0" w:type="auto"/>
                  <w:tcBorders>
                    <w:top w:val="single" w:sz="4" w:space="0" w:color="auto"/>
                    <w:left w:val="single" w:sz="4" w:space="0" w:color="auto"/>
                    <w:bottom w:val="single" w:sz="4" w:space="0" w:color="auto"/>
                    <w:right w:val="single" w:sz="4" w:space="0" w:color="auto"/>
                  </w:tcBorders>
                  <w:vAlign w:val="center"/>
                </w:tcPr>
                <w:p w14:paraId="6E9C3EEB" w14:textId="77777777" w:rsidR="00F3278A" w:rsidRPr="00D609AA" w:rsidRDefault="00F3278A" w:rsidP="00F3278A">
                  <w:pPr>
                    <w:rPr>
                      <w:rFonts w:eastAsia="Calibri"/>
                      <w:color w:val="000000"/>
                      <w:sz w:val="2"/>
                      <w:szCs w:val="2"/>
                      <w:lang w:val="lv-LV"/>
                    </w:rPr>
                  </w:pPr>
                </w:p>
                <w:p w14:paraId="58163944" w14:textId="7B1FA3FD" w:rsidR="00F3278A" w:rsidRPr="00D609AA" w:rsidRDefault="00F3278A" w:rsidP="00F3278A">
                  <w:pPr>
                    <w:spacing w:line="256" w:lineRule="auto"/>
                    <w:jc w:val="center"/>
                    <w:rPr>
                      <w:color w:val="212121"/>
                      <w:lang w:val="lv-LV"/>
                    </w:rPr>
                  </w:pPr>
                  <w:r w:rsidRPr="00D609AA">
                    <w:rPr>
                      <w:rFonts w:eastAsia="Calibri"/>
                      <w:color w:val="000000"/>
                      <w:lang w:val="lv-LV"/>
                    </w:rPr>
                    <w:t>20.06.2022.</w:t>
                  </w:r>
                </w:p>
              </w:tc>
            </w:tr>
            <w:tr w:rsidR="001C5E31" w:rsidRPr="00D609AA" w14:paraId="3DB975F1" w14:textId="77777777" w:rsidTr="00ED7474">
              <w:trPr>
                <w:trHeight w:val="232"/>
              </w:trPr>
              <w:tc>
                <w:tcPr>
                  <w:tcW w:w="0" w:type="auto"/>
                  <w:gridSpan w:val="4"/>
                  <w:tcBorders>
                    <w:top w:val="single" w:sz="4" w:space="0" w:color="auto"/>
                    <w:left w:val="single" w:sz="4" w:space="0" w:color="auto"/>
                    <w:bottom w:val="single" w:sz="4" w:space="0" w:color="auto"/>
                  </w:tcBorders>
                  <w:tcMar>
                    <w:top w:w="0" w:type="dxa"/>
                    <w:left w:w="15" w:type="dxa"/>
                    <w:bottom w:w="0" w:type="dxa"/>
                    <w:right w:w="15" w:type="dxa"/>
                  </w:tcMar>
                  <w:vAlign w:val="center"/>
                </w:tcPr>
                <w:p w14:paraId="17F22B4E" w14:textId="35C03EED" w:rsidR="00D134B4" w:rsidRPr="00D609AA" w:rsidRDefault="00D134B4" w:rsidP="00D134B4">
                  <w:pPr>
                    <w:spacing w:line="256" w:lineRule="auto"/>
                    <w:jc w:val="right"/>
                    <w:rPr>
                      <w:color w:val="212121"/>
                      <w:lang w:val="lv-LV"/>
                    </w:rPr>
                  </w:pPr>
                  <w:r w:rsidRPr="00D609AA">
                    <w:rPr>
                      <w:b/>
                      <w:bCs/>
                      <w:color w:val="212121"/>
                      <w:lang w:val="lv-LV"/>
                    </w:rPr>
                    <w:t>KOPĀ</w:t>
                  </w:r>
                  <w:r w:rsidR="00F3278A" w:rsidRPr="00D609AA">
                    <w:rPr>
                      <w:b/>
                      <w:bCs/>
                      <w:color w:val="212121"/>
                      <w:lang w:val="lv-LV"/>
                    </w:rPr>
                    <w:t>:</w:t>
                  </w:r>
                  <w:r w:rsidR="00ED7474" w:rsidRPr="00D609AA">
                    <w:rPr>
                      <w:b/>
                      <w:bCs/>
                      <w:color w:val="212121"/>
                      <w:lang w:val="lv-LV"/>
                    </w:rPr>
                    <w:t xml:space="preserve">   </w:t>
                  </w:r>
                  <w:r w:rsidR="00F3278A" w:rsidRPr="00D609AA">
                    <w:rPr>
                      <w:color w:val="212121"/>
                      <w:lang w:val="lv-LV"/>
                    </w:rPr>
                    <w:t xml:space="preserve"> </w:t>
                  </w:r>
                  <w:r w:rsidR="00F3278A" w:rsidRPr="00D609AA">
                    <w:rPr>
                      <w:b/>
                      <w:bCs/>
                      <w:color w:val="212121"/>
                      <w:lang w:val="lv-LV"/>
                    </w:rPr>
                    <w:t>275 075.30</w:t>
                  </w:r>
                  <w:r w:rsidR="00ED7474" w:rsidRPr="00D609AA">
                    <w:rPr>
                      <w:b/>
                      <w:bCs/>
                      <w:color w:val="212121"/>
                      <w:lang w:val="lv-LV"/>
                    </w:rPr>
                    <w:t xml:space="preserve"> </w:t>
                  </w:r>
                </w:p>
              </w:tc>
              <w:tc>
                <w:tcPr>
                  <w:tcW w:w="0" w:type="auto"/>
                  <w:tcBorders>
                    <w:top w:val="single" w:sz="4" w:space="0" w:color="auto"/>
                    <w:bottom w:val="single" w:sz="4" w:space="0" w:color="auto"/>
                    <w:right w:val="single" w:sz="4" w:space="0" w:color="auto"/>
                  </w:tcBorders>
                </w:tcPr>
                <w:p w14:paraId="40740390" w14:textId="449906A2" w:rsidR="00D134B4" w:rsidRPr="00D609AA" w:rsidRDefault="00D134B4" w:rsidP="00D134B4">
                  <w:pPr>
                    <w:spacing w:line="256" w:lineRule="auto"/>
                    <w:jc w:val="center"/>
                    <w:rPr>
                      <w:b/>
                      <w:bCs/>
                      <w:color w:val="212121"/>
                      <w:lang w:val="lv-LV"/>
                    </w:rPr>
                  </w:pPr>
                </w:p>
              </w:tc>
            </w:tr>
          </w:tbl>
          <w:p w14:paraId="14D29638" w14:textId="7575D552" w:rsidR="008045DD" w:rsidRPr="00D609AA" w:rsidRDefault="008045DD" w:rsidP="008045DD">
            <w:pPr>
              <w:pStyle w:val="ListParagraph2"/>
              <w:suppressAutoHyphens/>
              <w:spacing w:after="0" w:line="240" w:lineRule="auto"/>
              <w:ind w:left="0"/>
              <w:jc w:val="both"/>
              <w:rPr>
                <w:rFonts w:ascii="Times New Roman" w:hAnsi="Times New Roman" w:cs="Times New Roman"/>
                <w:sz w:val="24"/>
                <w:szCs w:val="24"/>
                <w:lang w:eastAsia="ar-SA"/>
              </w:rPr>
            </w:pPr>
          </w:p>
        </w:tc>
      </w:tr>
    </w:tbl>
    <w:p w14:paraId="50B9DAEC" w14:textId="77777777" w:rsidR="007D4EAB" w:rsidRPr="00D609AA" w:rsidRDefault="007D4EAB" w:rsidP="007D4EAB">
      <w:pPr>
        <w:ind w:firstLine="720"/>
        <w:jc w:val="both"/>
        <w:rPr>
          <w:szCs w:val="26"/>
          <w:lang w:val="lv-LV" w:eastAsia="ar-SA"/>
        </w:rPr>
      </w:pPr>
    </w:p>
    <w:p w14:paraId="658BD196" w14:textId="77777777" w:rsidR="007D4EAB" w:rsidRPr="00D609AA" w:rsidRDefault="007D4EAB" w:rsidP="00D134B4">
      <w:pPr>
        <w:jc w:val="both"/>
        <w:rPr>
          <w:rFonts w:eastAsia="Calibri"/>
          <w:lang w:val="lv-LV"/>
        </w:rPr>
      </w:pPr>
    </w:p>
    <w:p w14:paraId="3FF442AE" w14:textId="2C465303" w:rsidR="0043602E" w:rsidRPr="00D609AA" w:rsidRDefault="00D134B4">
      <w:pPr>
        <w:rPr>
          <w:lang w:val="lv-LV"/>
        </w:rPr>
      </w:pPr>
      <w:r w:rsidRPr="00D609AA">
        <w:rPr>
          <w:lang w:val="lv-LV"/>
        </w:rPr>
        <w:t xml:space="preserve">Iepirkuma komisijas priekšsēdētāja </w:t>
      </w:r>
      <w:r w:rsidR="00980031" w:rsidRPr="00D609AA">
        <w:rPr>
          <w:lang w:val="lv-LV"/>
        </w:rPr>
        <w:t xml:space="preserve">                                  Kristīne Graudumniece</w:t>
      </w:r>
    </w:p>
    <w:sectPr w:rsidR="0043602E" w:rsidRPr="00D609AA" w:rsidSect="00995309">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2BA5F" w14:textId="77777777" w:rsidR="00D134B4" w:rsidRDefault="00D134B4" w:rsidP="00D134B4">
      <w:r>
        <w:separator/>
      </w:r>
    </w:p>
  </w:endnote>
  <w:endnote w:type="continuationSeparator" w:id="0">
    <w:p w14:paraId="340FD4D8" w14:textId="77777777" w:rsidR="00D134B4" w:rsidRDefault="00D134B4" w:rsidP="00D13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647594"/>
      <w:docPartObj>
        <w:docPartGallery w:val="Page Numbers (Bottom of Page)"/>
        <w:docPartUnique/>
      </w:docPartObj>
    </w:sdtPr>
    <w:sdtEndPr/>
    <w:sdtContent>
      <w:p w14:paraId="77E9B503" w14:textId="2A667068" w:rsidR="00D134B4" w:rsidRDefault="00D134B4">
        <w:pPr>
          <w:pStyle w:val="Kjene"/>
          <w:jc w:val="center"/>
        </w:pPr>
        <w:r>
          <w:fldChar w:fldCharType="begin"/>
        </w:r>
        <w:r>
          <w:instrText>PAGE   \* MERGEFORMAT</w:instrText>
        </w:r>
        <w:r>
          <w:fldChar w:fldCharType="separate"/>
        </w:r>
        <w:r>
          <w:rPr>
            <w:lang w:val="lv-LV"/>
          </w:rPr>
          <w:t>2</w:t>
        </w:r>
        <w:r>
          <w:fldChar w:fldCharType="end"/>
        </w:r>
      </w:p>
    </w:sdtContent>
  </w:sdt>
  <w:p w14:paraId="27ED58AC" w14:textId="77777777" w:rsidR="00D134B4" w:rsidRDefault="00D134B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48849" w14:textId="77777777" w:rsidR="00D134B4" w:rsidRDefault="00D134B4" w:rsidP="00D134B4">
      <w:r>
        <w:separator/>
      </w:r>
    </w:p>
  </w:footnote>
  <w:footnote w:type="continuationSeparator" w:id="0">
    <w:p w14:paraId="7982C988" w14:textId="77777777" w:rsidR="00D134B4" w:rsidRDefault="00D134B4" w:rsidP="00D134B4">
      <w:r>
        <w:continuationSeparator/>
      </w:r>
    </w:p>
  </w:footnote>
  <w:footnote w:id="1">
    <w:p w14:paraId="58319352" w14:textId="1E0E7AD8" w:rsidR="008D0CA6" w:rsidRPr="00D609AA" w:rsidRDefault="008D0CA6" w:rsidP="008D0CA6">
      <w:pPr>
        <w:pStyle w:val="Vresteksts"/>
        <w:jc w:val="both"/>
        <w:rPr>
          <w:lang w:val="lv-LV"/>
        </w:rPr>
      </w:pPr>
      <w:r w:rsidRPr="00D609AA">
        <w:rPr>
          <w:rStyle w:val="Vresatsauce"/>
          <w:lang w:val="lv-LV"/>
        </w:rPr>
        <w:footnoteRef/>
      </w:r>
      <w:r w:rsidRPr="00D609AA">
        <w:rPr>
          <w:lang w:val="lv-LV"/>
        </w:rPr>
        <w:t xml:space="preserve"> Iepirkumu uzraudzības biroja (turpmāk – IUB) skaidrojums</w:t>
      </w:r>
      <w:r w:rsidR="005718A1" w:rsidRPr="00D609AA">
        <w:rPr>
          <w:lang w:val="lv-LV"/>
        </w:rPr>
        <w:t>, kas publicēts IUB tīmekļvietnē (</w:t>
      </w:r>
      <w:hyperlink r:id="rId1" w:history="1">
        <w:r w:rsidR="005718A1" w:rsidRPr="00D609AA">
          <w:rPr>
            <w:rStyle w:val="Hipersaite"/>
            <w:lang w:val="lv-LV"/>
          </w:rPr>
          <w:t>https://www.iub.gov.lv/lv/publisko-iepirkumu-likums-pil</w:t>
        </w:r>
      </w:hyperlink>
      <w:r w:rsidR="005718A1" w:rsidRPr="00D609AA">
        <w:rPr>
          <w:lang w:val="lv-LV"/>
        </w:rPr>
        <w:t>),</w:t>
      </w:r>
      <w:r w:rsidRPr="00D609AA">
        <w:rPr>
          <w:lang w:val="lv-LV"/>
        </w:rPr>
        <w:t xml:space="preserve"> par sarunu procedūras piemērošanu PIL </w:t>
      </w:r>
      <w:r w:rsidR="005718A1" w:rsidRPr="00D609AA">
        <w:rPr>
          <w:lang w:val="lv-LV"/>
        </w:rPr>
        <w:t>10.panta kārtībā rīkotajiem iepirkumiem</w:t>
      </w:r>
      <w:r w:rsidRPr="00D609AA">
        <w:rPr>
          <w:lang w:val="lv-LV"/>
        </w:rPr>
        <w:t xml:space="preserve">: </w:t>
      </w:r>
      <w:r w:rsidRPr="00D609AA">
        <w:rPr>
          <w:i/>
          <w:iCs/>
          <w:lang w:val="lv-LV"/>
        </w:rPr>
        <w:t>“</w:t>
      </w:r>
      <w:r w:rsidRPr="00D609AA">
        <w:rPr>
          <w:i/>
          <w:iCs/>
          <w:color w:val="212529"/>
          <w:shd w:val="clear" w:color="auto" w:fill="FFFFFF"/>
          <w:lang w:val="lv-LV"/>
        </w:rPr>
        <w:t>Lai gan Likuma 8.panta septītās daļas 1. un 3.punktā ir konkrēti uzskaitītas iepirkuma procedūras, uz ko šie punkti attiecināmi, vienlaikus saskaņā ar Likuma 32.pantu pasūtītājs ir tiesīgs nepublicēt šā panta pirmajā daļā minēto paziņojumu, ja iepirkums atbilst kādam no Likuma 8.panta septītajā daļā minētajiem gadījumiem, līdz ar to Birojs paskaidro, ka Likuma 8.panta septītās daļas 1. un 3.punkts pēc analoģijas ir attiecināms arī uz Likuma 10.panta kārtībā veiktu iepirkumu”</w:t>
      </w:r>
      <w:r w:rsidRPr="00D609AA">
        <w:rPr>
          <w:color w:val="212529"/>
          <w:shd w:val="clear" w:color="auto" w:fill="FFFFFF"/>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972DA"/>
    <w:multiLevelType w:val="hybridMultilevel"/>
    <w:tmpl w:val="D772B16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E81222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14D241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D965FB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02D5FA0"/>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EAB"/>
    <w:rsid w:val="0001174A"/>
    <w:rsid w:val="00041243"/>
    <w:rsid w:val="0007139A"/>
    <w:rsid w:val="00116BA7"/>
    <w:rsid w:val="00120CC4"/>
    <w:rsid w:val="001A2EE2"/>
    <w:rsid w:val="001C5E31"/>
    <w:rsid w:val="00356CD5"/>
    <w:rsid w:val="004450E0"/>
    <w:rsid w:val="005718A1"/>
    <w:rsid w:val="00736870"/>
    <w:rsid w:val="007374E0"/>
    <w:rsid w:val="00755109"/>
    <w:rsid w:val="00790877"/>
    <w:rsid w:val="007B6F0C"/>
    <w:rsid w:val="007D4EAB"/>
    <w:rsid w:val="008045DD"/>
    <w:rsid w:val="00821476"/>
    <w:rsid w:val="008D0CA6"/>
    <w:rsid w:val="00923EAB"/>
    <w:rsid w:val="00980031"/>
    <w:rsid w:val="00995309"/>
    <w:rsid w:val="00995359"/>
    <w:rsid w:val="00A9718E"/>
    <w:rsid w:val="00B15A8A"/>
    <w:rsid w:val="00BD576B"/>
    <w:rsid w:val="00CE10EC"/>
    <w:rsid w:val="00D134B4"/>
    <w:rsid w:val="00D30EED"/>
    <w:rsid w:val="00D609AA"/>
    <w:rsid w:val="00DF6B41"/>
    <w:rsid w:val="00ED7474"/>
    <w:rsid w:val="00F3278A"/>
    <w:rsid w:val="00F55A3E"/>
    <w:rsid w:val="00FA5295"/>
    <w:rsid w:val="00FC70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60BA6"/>
  <w15:docId w15:val="{1A732F1E-7985-460B-BE87-AD3A391B3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4EAB"/>
    <w:pPr>
      <w:spacing w:after="0" w:line="240" w:lineRule="auto"/>
    </w:pPr>
    <w:rPr>
      <w:rFonts w:ascii="Times New Roman" w:eastAsia="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2">
    <w:name w:val="tv2132"/>
    <w:basedOn w:val="Parasts"/>
    <w:rsid w:val="007D4EAB"/>
    <w:pPr>
      <w:spacing w:line="360" w:lineRule="auto"/>
      <w:ind w:firstLine="300"/>
    </w:pPr>
    <w:rPr>
      <w:color w:val="414142"/>
      <w:sz w:val="20"/>
      <w:szCs w:val="20"/>
      <w:lang w:val="lv-LV" w:eastAsia="lv-LV"/>
    </w:rPr>
  </w:style>
  <w:style w:type="table" w:styleId="Reatabula">
    <w:name w:val="Table Grid"/>
    <w:basedOn w:val="Parastatabula"/>
    <w:uiPriority w:val="39"/>
    <w:rsid w:val="007D4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trip,H&amp;P List Paragraph,Syle 1,Normal bullet 2,Bullet list,List Paragraph;Grafika nosaukums,Grafika nosaukums"/>
    <w:basedOn w:val="Parasts"/>
    <w:link w:val="SarakstarindkopaRakstz"/>
    <w:uiPriority w:val="34"/>
    <w:qFormat/>
    <w:rsid w:val="008045DD"/>
    <w:pPr>
      <w:ind w:left="720"/>
    </w:pPr>
  </w:style>
  <w:style w:type="character" w:customStyle="1" w:styleId="SarakstarindkopaRakstz">
    <w:name w:val="Saraksta rindkopa Rakstz."/>
    <w:aliases w:val="Saistīto dokumentu saraksts Rakstz.,Strip Rakstz.,H&amp;P List Paragraph Rakstz.,Syle 1 Rakstz.,Normal bullet 2 Rakstz.,Bullet list Rakstz.,List Paragraph;Grafika nosaukums Rakstz.,Grafika nosaukums Rakstz."/>
    <w:link w:val="Sarakstarindkopa"/>
    <w:uiPriority w:val="34"/>
    <w:locked/>
    <w:rsid w:val="008045DD"/>
    <w:rPr>
      <w:rFonts w:ascii="Times New Roman" w:eastAsia="Times New Roman" w:hAnsi="Times New Roman" w:cs="Times New Roman"/>
      <w:sz w:val="24"/>
      <w:szCs w:val="24"/>
      <w:lang w:val="en-US"/>
    </w:rPr>
  </w:style>
  <w:style w:type="paragraph" w:customStyle="1" w:styleId="ListParagraph2">
    <w:name w:val="List Paragraph2"/>
    <w:basedOn w:val="Parasts"/>
    <w:uiPriority w:val="99"/>
    <w:rsid w:val="008045DD"/>
    <w:pPr>
      <w:spacing w:after="200" w:line="276" w:lineRule="auto"/>
      <w:ind w:left="720"/>
    </w:pPr>
    <w:rPr>
      <w:rFonts w:ascii="Calibri" w:eastAsia="Calibri" w:hAnsi="Calibri" w:cs="Calibri"/>
      <w:sz w:val="22"/>
      <w:szCs w:val="22"/>
      <w:lang w:val="lv-LV"/>
    </w:rPr>
  </w:style>
  <w:style w:type="paragraph" w:styleId="Galvene">
    <w:name w:val="header"/>
    <w:basedOn w:val="Parasts"/>
    <w:link w:val="GalveneRakstz"/>
    <w:uiPriority w:val="99"/>
    <w:unhideWhenUsed/>
    <w:rsid w:val="00D134B4"/>
    <w:pPr>
      <w:tabs>
        <w:tab w:val="center" w:pos="4153"/>
        <w:tab w:val="right" w:pos="8306"/>
      </w:tabs>
    </w:pPr>
  </w:style>
  <w:style w:type="character" w:customStyle="1" w:styleId="GalveneRakstz">
    <w:name w:val="Galvene Rakstz."/>
    <w:basedOn w:val="Noklusjumarindkopasfonts"/>
    <w:link w:val="Galvene"/>
    <w:uiPriority w:val="99"/>
    <w:rsid w:val="00D134B4"/>
    <w:rPr>
      <w:rFonts w:ascii="Times New Roman" w:eastAsia="Times New Roman" w:hAnsi="Times New Roman" w:cs="Times New Roman"/>
      <w:sz w:val="24"/>
      <w:szCs w:val="24"/>
      <w:lang w:val="en-US"/>
    </w:rPr>
  </w:style>
  <w:style w:type="paragraph" w:styleId="Kjene">
    <w:name w:val="footer"/>
    <w:basedOn w:val="Parasts"/>
    <w:link w:val="KjeneRakstz"/>
    <w:uiPriority w:val="99"/>
    <w:unhideWhenUsed/>
    <w:rsid w:val="00D134B4"/>
    <w:pPr>
      <w:tabs>
        <w:tab w:val="center" w:pos="4153"/>
        <w:tab w:val="right" w:pos="8306"/>
      </w:tabs>
    </w:pPr>
  </w:style>
  <w:style w:type="character" w:customStyle="1" w:styleId="KjeneRakstz">
    <w:name w:val="Kājene Rakstz."/>
    <w:basedOn w:val="Noklusjumarindkopasfonts"/>
    <w:link w:val="Kjene"/>
    <w:uiPriority w:val="99"/>
    <w:rsid w:val="00D134B4"/>
    <w:rPr>
      <w:rFonts w:ascii="Times New Roman" w:eastAsia="Times New Roman" w:hAnsi="Times New Roman" w:cs="Times New Roman"/>
      <w:sz w:val="24"/>
      <w:szCs w:val="24"/>
      <w:lang w:val="en-US"/>
    </w:rPr>
  </w:style>
  <w:style w:type="paragraph" w:styleId="Vresteksts">
    <w:name w:val="footnote text"/>
    <w:basedOn w:val="Parasts"/>
    <w:link w:val="VrestekstsRakstz"/>
    <w:uiPriority w:val="99"/>
    <w:semiHidden/>
    <w:unhideWhenUsed/>
    <w:rsid w:val="008D0CA6"/>
    <w:rPr>
      <w:sz w:val="20"/>
      <w:szCs w:val="20"/>
    </w:rPr>
  </w:style>
  <w:style w:type="character" w:customStyle="1" w:styleId="VrestekstsRakstz">
    <w:name w:val="Vēres teksts Rakstz."/>
    <w:basedOn w:val="Noklusjumarindkopasfonts"/>
    <w:link w:val="Vresteksts"/>
    <w:uiPriority w:val="99"/>
    <w:semiHidden/>
    <w:rsid w:val="008D0CA6"/>
    <w:rPr>
      <w:rFonts w:ascii="Times New Roman" w:eastAsia="Times New Roman" w:hAnsi="Times New Roman" w:cs="Times New Roman"/>
      <w:sz w:val="20"/>
      <w:szCs w:val="20"/>
      <w:lang w:val="en-US"/>
    </w:rPr>
  </w:style>
  <w:style w:type="character" w:styleId="Vresatsauce">
    <w:name w:val="footnote reference"/>
    <w:basedOn w:val="Noklusjumarindkopasfonts"/>
    <w:uiPriority w:val="99"/>
    <w:semiHidden/>
    <w:unhideWhenUsed/>
    <w:rsid w:val="008D0CA6"/>
    <w:rPr>
      <w:vertAlign w:val="superscript"/>
    </w:rPr>
  </w:style>
  <w:style w:type="character" w:styleId="Hipersaite">
    <w:name w:val="Hyperlink"/>
    <w:basedOn w:val="Noklusjumarindkopasfonts"/>
    <w:uiPriority w:val="99"/>
    <w:unhideWhenUsed/>
    <w:rsid w:val="008D0CA6"/>
    <w:rPr>
      <w:color w:val="0000FF" w:themeColor="hyperlink"/>
      <w:u w:val="single"/>
    </w:rPr>
  </w:style>
  <w:style w:type="character" w:styleId="Neatrisintapieminana">
    <w:name w:val="Unresolved Mention"/>
    <w:basedOn w:val="Noklusjumarindkopasfonts"/>
    <w:uiPriority w:val="99"/>
    <w:semiHidden/>
    <w:unhideWhenUsed/>
    <w:rsid w:val="008D0CA6"/>
    <w:rPr>
      <w:color w:val="605E5C"/>
      <w:shd w:val="clear" w:color="auto" w:fill="E1DFDD"/>
    </w:rPr>
  </w:style>
  <w:style w:type="character" w:styleId="Izmantotahipersaite">
    <w:name w:val="FollowedHyperlink"/>
    <w:basedOn w:val="Noklusjumarindkopasfonts"/>
    <w:uiPriority w:val="99"/>
    <w:semiHidden/>
    <w:unhideWhenUsed/>
    <w:rsid w:val="00120C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129366">
      <w:bodyDiv w:val="1"/>
      <w:marLeft w:val="0"/>
      <w:marRight w:val="0"/>
      <w:marTop w:val="0"/>
      <w:marBottom w:val="0"/>
      <w:divBdr>
        <w:top w:val="none" w:sz="0" w:space="0" w:color="auto"/>
        <w:left w:val="none" w:sz="0" w:space="0" w:color="auto"/>
        <w:bottom w:val="none" w:sz="0" w:space="0" w:color="auto"/>
        <w:right w:val="none" w:sz="0" w:space="0" w:color="auto"/>
      </w:divBdr>
      <w:divsChild>
        <w:div w:id="1013608034">
          <w:marLeft w:val="0"/>
          <w:marRight w:val="0"/>
          <w:marTop w:val="0"/>
          <w:marBottom w:val="0"/>
          <w:divBdr>
            <w:top w:val="none" w:sz="0" w:space="0" w:color="auto"/>
            <w:left w:val="none" w:sz="0" w:space="0" w:color="auto"/>
            <w:bottom w:val="none" w:sz="0" w:space="0" w:color="auto"/>
            <w:right w:val="none" w:sz="0" w:space="0" w:color="auto"/>
          </w:divBdr>
          <w:divsChild>
            <w:div w:id="1780947571">
              <w:marLeft w:val="0"/>
              <w:marRight w:val="0"/>
              <w:marTop w:val="0"/>
              <w:marBottom w:val="0"/>
              <w:divBdr>
                <w:top w:val="none" w:sz="0" w:space="0" w:color="auto"/>
                <w:left w:val="none" w:sz="0" w:space="0" w:color="auto"/>
                <w:bottom w:val="none" w:sz="0" w:space="0" w:color="auto"/>
                <w:right w:val="none" w:sz="0" w:space="0" w:color="auto"/>
              </w:divBdr>
              <w:divsChild>
                <w:div w:id="776217482">
                  <w:marLeft w:val="0"/>
                  <w:marRight w:val="0"/>
                  <w:marTop w:val="0"/>
                  <w:marBottom w:val="0"/>
                  <w:divBdr>
                    <w:top w:val="none" w:sz="0" w:space="0" w:color="auto"/>
                    <w:left w:val="none" w:sz="0" w:space="0" w:color="auto"/>
                    <w:bottom w:val="none" w:sz="0" w:space="0" w:color="auto"/>
                    <w:right w:val="none" w:sz="0" w:space="0" w:color="auto"/>
                  </w:divBdr>
                  <w:divsChild>
                    <w:div w:id="455833516">
                      <w:marLeft w:val="0"/>
                      <w:marRight w:val="0"/>
                      <w:marTop w:val="0"/>
                      <w:marBottom w:val="0"/>
                      <w:divBdr>
                        <w:top w:val="none" w:sz="0" w:space="0" w:color="auto"/>
                        <w:left w:val="none" w:sz="0" w:space="0" w:color="auto"/>
                        <w:bottom w:val="none" w:sz="0" w:space="0" w:color="auto"/>
                        <w:right w:val="none" w:sz="0" w:space="0" w:color="auto"/>
                      </w:divBdr>
                      <w:divsChild>
                        <w:div w:id="445389033">
                          <w:marLeft w:val="0"/>
                          <w:marRight w:val="0"/>
                          <w:marTop w:val="0"/>
                          <w:marBottom w:val="0"/>
                          <w:divBdr>
                            <w:top w:val="none" w:sz="0" w:space="0" w:color="auto"/>
                            <w:left w:val="none" w:sz="0" w:space="0" w:color="auto"/>
                            <w:bottom w:val="none" w:sz="0" w:space="0" w:color="auto"/>
                            <w:right w:val="none" w:sz="0" w:space="0" w:color="auto"/>
                          </w:divBdr>
                          <w:divsChild>
                            <w:div w:id="153820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87760-publisko-iepirkumu-liku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kumi.lv/ta/id/287760-publisko-iepirkumu-likum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ub.gov.lv/lv/publisko-iepirkumu-likums-pil"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38332-1A8F-4985-98A6-983B451A7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3791</Words>
  <Characters>2161</Characters>
  <Application>Microsoft Office Word</Application>
  <DocSecurity>4</DocSecurity>
  <Lines>18</Lines>
  <Paragraphs>11</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Kristīne Graudumniece</cp:lastModifiedBy>
  <cp:revision>2</cp:revision>
  <dcterms:created xsi:type="dcterms:W3CDTF">2022-07-13T06:57:00Z</dcterms:created>
  <dcterms:modified xsi:type="dcterms:W3CDTF">2022-07-13T06:57:00Z</dcterms:modified>
</cp:coreProperties>
</file>