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C9ADD" w14:textId="054F7A04" w:rsidR="000B256E" w:rsidRPr="000B256E" w:rsidRDefault="000B256E" w:rsidP="000B256E">
      <w:pPr>
        <w:pStyle w:val="Virsraksts2"/>
        <w:suppressAutoHyphens w:val="0"/>
        <w:spacing w:before="0" w:after="0"/>
        <w:jc w:val="right"/>
        <w:rPr>
          <w:rFonts w:ascii="Times New Roman" w:eastAsia="Times New Roman" w:hAnsi="Times New Roman" w:cs="Times New Roman"/>
          <w:b w:val="0"/>
          <w:bCs w:val="0"/>
          <w:i w:val="0"/>
          <w:color w:val="000000"/>
          <w:sz w:val="24"/>
          <w:szCs w:val="24"/>
          <w:lang w:val="lv-LV" w:eastAsia="en-US"/>
        </w:rPr>
      </w:pPr>
      <w:r w:rsidRPr="000B256E">
        <w:rPr>
          <w:rFonts w:ascii="Times New Roman" w:eastAsia="Times New Roman" w:hAnsi="Times New Roman" w:cs="Times New Roman"/>
          <w:b w:val="0"/>
          <w:bCs w:val="0"/>
          <w:i w:val="0"/>
          <w:color w:val="000000"/>
          <w:sz w:val="24"/>
          <w:szCs w:val="24"/>
          <w:lang w:val="lv-LV" w:eastAsia="en-US"/>
        </w:rPr>
        <w:t>1.pielikums</w:t>
      </w:r>
    </w:p>
    <w:p w14:paraId="7888D10D" w14:textId="0F4B8B59" w:rsidR="000B256E" w:rsidRPr="000B256E" w:rsidRDefault="000B256E" w:rsidP="000B256E">
      <w:pPr>
        <w:pStyle w:val="Virsraksts2"/>
        <w:suppressAutoHyphens w:val="0"/>
        <w:spacing w:before="0" w:after="0"/>
        <w:jc w:val="right"/>
        <w:rPr>
          <w:rFonts w:ascii="Times New Roman" w:eastAsia="Times New Roman" w:hAnsi="Times New Roman" w:cs="Times New Roman"/>
          <w:b w:val="0"/>
          <w:bCs w:val="0"/>
          <w:i w:val="0"/>
          <w:color w:val="000000"/>
          <w:sz w:val="24"/>
          <w:szCs w:val="24"/>
          <w:lang w:val="lv-LV" w:eastAsia="en-US"/>
        </w:rPr>
      </w:pPr>
      <w:r w:rsidRPr="000B256E">
        <w:rPr>
          <w:rFonts w:ascii="Times New Roman" w:eastAsia="Times New Roman" w:hAnsi="Times New Roman" w:cs="Times New Roman"/>
          <w:b w:val="0"/>
          <w:bCs w:val="0"/>
          <w:i w:val="0"/>
          <w:color w:val="000000"/>
          <w:sz w:val="24"/>
          <w:szCs w:val="24"/>
          <w:lang w:val="lv-LV" w:eastAsia="en-US"/>
        </w:rPr>
        <w:t>Iepirkuma</w:t>
      </w:r>
      <w:r>
        <w:rPr>
          <w:rFonts w:ascii="Times New Roman" w:eastAsia="Times New Roman" w:hAnsi="Times New Roman" w:cs="Times New Roman"/>
          <w:b w:val="0"/>
          <w:bCs w:val="0"/>
          <w:i w:val="0"/>
          <w:color w:val="000000"/>
          <w:sz w:val="24"/>
          <w:szCs w:val="24"/>
          <w:lang w:val="lv-LV" w:eastAsia="en-US"/>
        </w:rPr>
        <w:t xml:space="preserve"> </w:t>
      </w:r>
      <w:r w:rsidRPr="000B256E">
        <w:rPr>
          <w:rFonts w:ascii="Times New Roman" w:eastAsia="Times New Roman" w:hAnsi="Times New Roman" w:cs="Times New Roman"/>
          <w:b w:val="0"/>
          <w:bCs w:val="0"/>
          <w:i w:val="0"/>
          <w:color w:val="000000"/>
          <w:sz w:val="24"/>
          <w:szCs w:val="24"/>
          <w:lang w:val="lv-LV" w:eastAsia="en-US"/>
        </w:rPr>
        <w:t>“Paku piegādes pakalpojumi Rīgas izglītības iestāžu vajadzībām”</w:t>
      </w:r>
    </w:p>
    <w:p w14:paraId="33C8EADE" w14:textId="4EB08BD8" w:rsidR="000B256E" w:rsidRPr="000B256E" w:rsidRDefault="000B256E" w:rsidP="000B256E">
      <w:pPr>
        <w:pStyle w:val="Virsraksts2"/>
        <w:suppressAutoHyphens w:val="0"/>
        <w:spacing w:before="0" w:after="0"/>
        <w:jc w:val="right"/>
        <w:rPr>
          <w:rFonts w:ascii="Times New Roman" w:eastAsia="Times New Roman" w:hAnsi="Times New Roman" w:cs="Times New Roman"/>
          <w:b w:val="0"/>
          <w:bCs w:val="0"/>
          <w:i w:val="0"/>
          <w:color w:val="000000"/>
          <w:sz w:val="24"/>
          <w:szCs w:val="24"/>
          <w:lang w:val="lv-LV" w:eastAsia="en-US"/>
        </w:rPr>
      </w:pPr>
      <w:r w:rsidRPr="000B256E">
        <w:rPr>
          <w:rFonts w:ascii="Times New Roman" w:eastAsia="Times New Roman" w:hAnsi="Times New Roman" w:cs="Times New Roman"/>
          <w:b w:val="0"/>
          <w:bCs w:val="0"/>
          <w:i w:val="0"/>
          <w:color w:val="000000"/>
          <w:sz w:val="24"/>
          <w:szCs w:val="24"/>
          <w:lang w:val="lv-LV" w:eastAsia="en-US"/>
        </w:rPr>
        <w:t xml:space="preserve">(identifikācijas </w:t>
      </w:r>
      <w:proofErr w:type="spellStart"/>
      <w:r w:rsidRPr="000B256E">
        <w:rPr>
          <w:rFonts w:ascii="Times New Roman" w:eastAsia="Times New Roman" w:hAnsi="Times New Roman" w:cs="Times New Roman"/>
          <w:b w:val="0"/>
          <w:bCs w:val="0"/>
          <w:i w:val="0"/>
          <w:color w:val="000000"/>
          <w:sz w:val="24"/>
          <w:szCs w:val="24"/>
          <w:lang w:val="lv-LV" w:eastAsia="en-US"/>
        </w:rPr>
        <w:t>Nr.</w:t>
      </w:r>
      <w:bookmarkStart w:id="0" w:name="_Hlk52206062"/>
      <w:r w:rsidRPr="000B256E">
        <w:rPr>
          <w:rFonts w:ascii="Times New Roman" w:eastAsia="Times New Roman" w:hAnsi="Times New Roman" w:cs="Times New Roman"/>
          <w:b w:val="0"/>
          <w:bCs w:val="0"/>
          <w:i w:val="0"/>
          <w:color w:val="000000"/>
          <w:sz w:val="24"/>
          <w:szCs w:val="24"/>
          <w:lang w:val="lv-LV" w:eastAsia="en-US"/>
        </w:rPr>
        <w:t>RD</w:t>
      </w:r>
      <w:proofErr w:type="spellEnd"/>
      <w:r w:rsidRPr="000B256E">
        <w:rPr>
          <w:rFonts w:ascii="Times New Roman" w:eastAsia="Times New Roman" w:hAnsi="Times New Roman" w:cs="Times New Roman"/>
          <w:b w:val="0"/>
          <w:bCs w:val="0"/>
          <w:i w:val="0"/>
          <w:color w:val="000000"/>
          <w:sz w:val="24"/>
          <w:szCs w:val="24"/>
          <w:lang w:val="lv-LV" w:eastAsia="en-US"/>
        </w:rPr>
        <w:t xml:space="preserve"> IKSD </w:t>
      </w:r>
      <w:bookmarkEnd w:id="0"/>
      <w:r w:rsidRPr="000B256E">
        <w:rPr>
          <w:rFonts w:ascii="Times New Roman" w:eastAsia="Times New Roman" w:hAnsi="Times New Roman" w:cs="Times New Roman"/>
          <w:b w:val="0"/>
          <w:bCs w:val="0"/>
          <w:i w:val="0"/>
          <w:color w:val="000000"/>
          <w:sz w:val="24"/>
          <w:szCs w:val="24"/>
          <w:lang w:val="lv-LV" w:eastAsia="en-US"/>
        </w:rPr>
        <w:t>2022/16) nolikumam</w:t>
      </w:r>
    </w:p>
    <w:p w14:paraId="50458CF0" w14:textId="77777777" w:rsidR="000B256E" w:rsidRDefault="000B256E" w:rsidP="000B256E">
      <w:pPr>
        <w:jc w:val="center"/>
        <w:rPr>
          <w:rFonts w:eastAsia="Calibri"/>
          <w:color w:val="000000"/>
          <w:szCs w:val="26"/>
          <w:lang w:val="lv-LV" w:eastAsia="lv-LV"/>
        </w:rPr>
      </w:pPr>
    </w:p>
    <w:p w14:paraId="3F51722E" w14:textId="544E274E" w:rsidR="00044F3E" w:rsidRDefault="00044F3E" w:rsidP="000B256E">
      <w:pPr>
        <w:jc w:val="center"/>
        <w:rPr>
          <w:rFonts w:eastAsia="Calibri"/>
          <w:b/>
          <w:bCs/>
          <w:color w:val="000000"/>
          <w:szCs w:val="26"/>
          <w:lang w:val="lv-LV" w:eastAsia="lv-LV"/>
        </w:rPr>
      </w:pPr>
      <w:r w:rsidRPr="00044F3E">
        <w:rPr>
          <w:rFonts w:eastAsia="Calibri"/>
          <w:b/>
          <w:bCs/>
          <w:color w:val="000000"/>
          <w:szCs w:val="26"/>
          <w:lang w:val="lv-LV" w:eastAsia="lv-LV"/>
        </w:rPr>
        <w:t>Tehniskās specifikācija</w:t>
      </w:r>
    </w:p>
    <w:p w14:paraId="3296312B" w14:textId="77777777" w:rsidR="00044F3E" w:rsidRDefault="00044F3E" w:rsidP="00044F3E">
      <w:pPr>
        <w:rPr>
          <w:rFonts w:eastAsia="Calibri"/>
          <w:color w:val="000000"/>
          <w:szCs w:val="26"/>
          <w:lang w:val="lv-LV" w:eastAsia="lv-LV"/>
        </w:rPr>
      </w:pPr>
    </w:p>
    <w:p w14:paraId="46E90C06" w14:textId="77777777" w:rsidR="00044F3E" w:rsidRDefault="00044F3E" w:rsidP="000465F3">
      <w:pPr>
        <w:ind w:firstLine="851"/>
        <w:jc w:val="both"/>
        <w:rPr>
          <w:rFonts w:eastAsia="Calibri"/>
          <w:color w:val="000000"/>
          <w:szCs w:val="26"/>
          <w:lang w:val="lv-LV"/>
        </w:rPr>
      </w:pPr>
      <w:r>
        <w:rPr>
          <w:rFonts w:eastAsia="Calibri"/>
          <w:color w:val="000000"/>
          <w:szCs w:val="26"/>
          <w:lang w:val="lv-LV"/>
        </w:rPr>
        <w:t>P</w:t>
      </w:r>
      <w:r w:rsidRPr="00C6200A">
        <w:rPr>
          <w:rFonts w:eastAsia="Calibri"/>
          <w:color w:val="000000"/>
          <w:szCs w:val="26"/>
          <w:lang w:val="lv-LV"/>
        </w:rPr>
        <w:t>akalpojumi atbilst CPV kodiem: 64121200-2 Paku piegādes pakalpojumi; 79920000-9 Iepakošanas un saistītie pakalpojumi</w:t>
      </w:r>
    </w:p>
    <w:p w14:paraId="1F7BE855" w14:textId="05DDB99A" w:rsidR="00D72646" w:rsidRDefault="00D72646" w:rsidP="000465F3">
      <w:pPr>
        <w:ind w:firstLine="851"/>
        <w:jc w:val="both"/>
        <w:rPr>
          <w:lang w:val="lv-LV"/>
        </w:rPr>
      </w:pPr>
    </w:p>
    <w:p w14:paraId="2625F9E0" w14:textId="4C86DE75" w:rsidR="00044F3E" w:rsidRPr="000465F3" w:rsidRDefault="00B137CE" w:rsidP="000465F3">
      <w:pPr>
        <w:ind w:firstLine="851"/>
        <w:jc w:val="both"/>
        <w:rPr>
          <w:b/>
          <w:bCs/>
          <w:lang w:val="lv-LV"/>
        </w:rPr>
      </w:pPr>
      <w:r w:rsidRPr="000465F3">
        <w:rPr>
          <w:b/>
          <w:bCs/>
          <w:lang w:val="lv-LV"/>
        </w:rPr>
        <w:t>Vispārīgā informācija:</w:t>
      </w:r>
    </w:p>
    <w:p w14:paraId="6D11141B" w14:textId="6A767E71" w:rsidR="00B137CE" w:rsidRDefault="00B137CE" w:rsidP="000465F3">
      <w:pPr>
        <w:ind w:firstLine="851"/>
        <w:jc w:val="both"/>
        <w:rPr>
          <w:lang w:val="lv-LV"/>
        </w:rPr>
      </w:pPr>
      <w:r w:rsidRPr="00B137CE">
        <w:rPr>
          <w:lang w:val="lv-LV"/>
        </w:rPr>
        <w:t xml:space="preserve">Atbilstoši  Ministru kabineta 13.05.2021. noteikumiem Nr. 308 “Noteikumi par prioritāro institūciju un vajadzību sarakstā iekļautajām institūcijām nepieciešamajiem epidemioloģiskās drošības nodrošināšanas resursiem” </w:t>
      </w:r>
      <w:r w:rsidR="009C19A2">
        <w:rPr>
          <w:lang w:val="lv-LV"/>
        </w:rPr>
        <w:t xml:space="preserve">Rīgas domes Izglītības, kultūras un sporta departamentam (turpmāk – Departamentam) </w:t>
      </w:r>
      <w:r w:rsidRPr="00B137CE">
        <w:rPr>
          <w:lang w:val="lv-LV"/>
        </w:rPr>
        <w:t xml:space="preserve">nepieciešams </w:t>
      </w:r>
      <w:r w:rsidR="009C19A2">
        <w:rPr>
          <w:lang w:val="lv-LV"/>
        </w:rPr>
        <w:t xml:space="preserve">vairākkārt </w:t>
      </w:r>
      <w:r w:rsidRPr="00B137CE">
        <w:rPr>
          <w:lang w:val="lv-LV"/>
        </w:rPr>
        <w:t xml:space="preserve">nodrošināt SARS-CoV-2 vīrusa antigēna noteikšanas testu </w:t>
      </w:r>
      <w:r w:rsidR="009C19A2">
        <w:rPr>
          <w:lang w:val="lv-LV"/>
        </w:rPr>
        <w:t xml:space="preserve">(turpmāk – testi) </w:t>
      </w:r>
      <w:r w:rsidRPr="00B137CE">
        <w:rPr>
          <w:lang w:val="lv-LV"/>
        </w:rPr>
        <w:t xml:space="preserve">un vienreizlietojamo ķirurģisko sejas masku </w:t>
      </w:r>
      <w:r w:rsidR="009C19A2">
        <w:rPr>
          <w:lang w:val="lv-LV"/>
        </w:rPr>
        <w:t xml:space="preserve">(turpmāk – maksu) </w:t>
      </w:r>
      <w:r w:rsidRPr="00B137CE">
        <w:rPr>
          <w:lang w:val="lv-LV"/>
        </w:rPr>
        <w:t>piegādi izglītības iestādēm</w:t>
      </w:r>
      <w:r w:rsidR="009C19A2">
        <w:rPr>
          <w:lang w:val="lv-LV"/>
        </w:rPr>
        <w:t xml:space="preserve"> 2022./2023. mācību gadā</w:t>
      </w:r>
      <w:r w:rsidRPr="00B137CE">
        <w:rPr>
          <w:lang w:val="lv-LV"/>
        </w:rPr>
        <w:t>.</w:t>
      </w:r>
    </w:p>
    <w:p w14:paraId="69B20320" w14:textId="6D2EC1B5" w:rsidR="009C19A2" w:rsidRDefault="009C19A2" w:rsidP="000465F3">
      <w:pPr>
        <w:ind w:firstLine="851"/>
        <w:jc w:val="both"/>
        <w:rPr>
          <w:lang w:val="lv-LV"/>
        </w:rPr>
      </w:pPr>
    </w:p>
    <w:p w14:paraId="2CC531D6" w14:textId="27731E9B" w:rsidR="009C19A2" w:rsidRPr="009C19A2" w:rsidRDefault="009C19A2" w:rsidP="000465F3">
      <w:pPr>
        <w:ind w:firstLine="851"/>
        <w:jc w:val="both"/>
        <w:rPr>
          <w:lang w:val="lv-LV"/>
        </w:rPr>
      </w:pPr>
      <w:r>
        <w:rPr>
          <w:lang w:val="lv-LV"/>
        </w:rPr>
        <w:t>Š</w:t>
      </w:r>
      <w:r w:rsidRPr="009C19A2">
        <w:rPr>
          <w:lang w:val="lv-LV"/>
        </w:rPr>
        <w:t>o uzdevumu</w:t>
      </w:r>
      <w:r>
        <w:rPr>
          <w:lang w:val="lv-LV"/>
        </w:rPr>
        <w:t xml:space="preserve"> plānots</w:t>
      </w:r>
      <w:r w:rsidRPr="009C19A2">
        <w:rPr>
          <w:lang w:val="lv-LV"/>
        </w:rPr>
        <w:t xml:space="preserve"> īstenot, piesaistot ārpakalpojuma sniedzēju, kas izvēlēts, veicot publisku iepirkumu.</w:t>
      </w:r>
    </w:p>
    <w:p w14:paraId="35CA29DA" w14:textId="0669F7FB" w:rsidR="009C19A2" w:rsidRDefault="009C19A2" w:rsidP="000465F3">
      <w:pPr>
        <w:ind w:firstLine="851"/>
        <w:jc w:val="both"/>
        <w:rPr>
          <w:lang w:val="lv-LV"/>
        </w:rPr>
      </w:pPr>
      <w:r w:rsidRPr="009C19A2">
        <w:rPr>
          <w:lang w:val="lv-LV"/>
        </w:rPr>
        <w:t>Plānotais testu un maksu piegādes pakalpojumu izdevumu apmērs ir līdz 42 000 EUR bez PVN jeb līdz 50 820 EUR ar PVN, veicot norēķinus par faktiski sniegtajiem pakalpojumiem katrā no piegādes posmiem.</w:t>
      </w:r>
    </w:p>
    <w:p w14:paraId="2A5AF93B" w14:textId="7F1803E1" w:rsidR="009C19A2" w:rsidRDefault="009C19A2" w:rsidP="000465F3">
      <w:pPr>
        <w:ind w:firstLine="851"/>
        <w:jc w:val="both"/>
        <w:rPr>
          <w:lang w:val="lv-LV"/>
        </w:rPr>
      </w:pPr>
    </w:p>
    <w:p w14:paraId="138206EA" w14:textId="3E94640E" w:rsidR="000465F3" w:rsidRDefault="009C19A2" w:rsidP="000465F3">
      <w:pPr>
        <w:ind w:firstLine="851"/>
        <w:jc w:val="both"/>
        <w:rPr>
          <w:b/>
          <w:bCs/>
          <w:lang w:val="lv-LV"/>
        </w:rPr>
      </w:pPr>
      <w:r>
        <w:rPr>
          <w:lang w:val="lv-LV"/>
        </w:rPr>
        <w:t>Ņemot vērā to, ka informāciju par i</w:t>
      </w:r>
      <w:r w:rsidRPr="009C19A2">
        <w:rPr>
          <w:lang w:val="lv-LV"/>
        </w:rPr>
        <w:t>ndividuālo aizsardzības līdzekļu</w:t>
      </w:r>
      <w:r>
        <w:rPr>
          <w:lang w:val="lv-LV"/>
        </w:rPr>
        <w:t xml:space="preserve"> piegādēm Departaments saņem no citām valsts un pašvaldības iestādēm, Departamentam nav pieejama precīza informācija par katr</w:t>
      </w:r>
      <w:r w:rsidR="000465F3">
        <w:rPr>
          <w:lang w:val="lv-LV"/>
        </w:rPr>
        <w:t>u</w:t>
      </w:r>
      <w:r>
        <w:rPr>
          <w:lang w:val="lv-LV"/>
        </w:rPr>
        <w:t xml:space="preserve"> piegādes posmu: piegāžu skaitu, piegāžu datumiem, iestāžu skaitu katrā no piegādes posmiem, testu un masku daudzumiem, iepakojuma izmēriem un svaru, arī piegād</w:t>
      </w:r>
      <w:r w:rsidR="000465F3">
        <w:rPr>
          <w:lang w:val="lv-LV"/>
        </w:rPr>
        <w:t>ājamo</w:t>
      </w:r>
      <w:r>
        <w:rPr>
          <w:lang w:val="lv-LV"/>
        </w:rPr>
        <w:t xml:space="preserve"> paku saturs - i</w:t>
      </w:r>
      <w:r w:rsidRPr="009C19A2">
        <w:rPr>
          <w:lang w:val="lv-LV"/>
        </w:rPr>
        <w:t xml:space="preserve">ndividuālo aizsardzības līdzekļu sortiments, </w:t>
      </w:r>
      <w:r>
        <w:rPr>
          <w:lang w:val="lv-LV"/>
        </w:rPr>
        <w:t xml:space="preserve">var tikt mainīts. Līdz ar to </w:t>
      </w:r>
      <w:r w:rsidRPr="000465F3">
        <w:rPr>
          <w:b/>
          <w:bCs/>
          <w:lang w:val="lv-LV"/>
        </w:rPr>
        <w:t>pasūtītājs precizēs katra piegādes posma darba uzdevumu</w:t>
      </w:r>
      <w:r w:rsidR="000465F3" w:rsidRPr="000465F3">
        <w:rPr>
          <w:b/>
          <w:bCs/>
          <w:lang w:val="lv-LV"/>
        </w:rPr>
        <w:t xml:space="preserve"> tiklīdz tiks saņemta precīza informācija no citām valsts un pašvaldības iestādēm</w:t>
      </w:r>
      <w:r w:rsidRPr="000465F3">
        <w:rPr>
          <w:b/>
          <w:bCs/>
          <w:lang w:val="lv-LV"/>
        </w:rPr>
        <w:t xml:space="preserve">. </w:t>
      </w:r>
    </w:p>
    <w:p w14:paraId="5DCF3278" w14:textId="7A1E97B1" w:rsidR="007C17D2" w:rsidRDefault="007C17D2" w:rsidP="000465F3">
      <w:pPr>
        <w:ind w:firstLine="851"/>
        <w:jc w:val="both"/>
        <w:rPr>
          <w:lang w:val="lv-LV"/>
        </w:rPr>
      </w:pPr>
      <w:r w:rsidRPr="007C17D2">
        <w:rPr>
          <w:lang w:val="lv-LV"/>
        </w:rPr>
        <w:t xml:space="preserve">Pasūtītājs </w:t>
      </w:r>
      <w:r>
        <w:rPr>
          <w:lang w:val="lv-LV"/>
        </w:rPr>
        <w:t>Iepirkuma l</w:t>
      </w:r>
      <w:r w:rsidRPr="007C17D2">
        <w:rPr>
          <w:lang w:val="lv-LV"/>
        </w:rPr>
        <w:t>īguma ietvaros nav saistīts ar konkrētu pasūtījuma apjomu un veic pasūtījumu atbilstoši vajadzībai un savām finanšu iespējām.</w:t>
      </w:r>
    </w:p>
    <w:p w14:paraId="3DE0EB69" w14:textId="77777777" w:rsidR="000465F3" w:rsidRDefault="009C19A2" w:rsidP="000465F3">
      <w:pPr>
        <w:ind w:firstLine="851"/>
        <w:jc w:val="both"/>
        <w:rPr>
          <w:lang w:val="lv-LV"/>
        </w:rPr>
      </w:pPr>
      <w:r>
        <w:rPr>
          <w:lang w:val="lv-LV"/>
        </w:rPr>
        <w:t xml:space="preserve">Tehniskajai specifikācijai ir pievienots šobrīd zināmais visu izglītības iestāžu saraksts, kurā ir norādīts </w:t>
      </w:r>
      <w:r w:rsidR="000465F3">
        <w:rPr>
          <w:lang w:val="lv-LV"/>
        </w:rPr>
        <w:t xml:space="preserve">iestādes nosaukums un adrese, tālrunis un e-pasta adrese. </w:t>
      </w:r>
    </w:p>
    <w:p w14:paraId="7580065F" w14:textId="211B6752" w:rsidR="007C17D2" w:rsidRDefault="009C19A2" w:rsidP="007C17D2">
      <w:pPr>
        <w:ind w:firstLine="851"/>
        <w:jc w:val="both"/>
        <w:rPr>
          <w:lang w:val="lv-LV"/>
        </w:rPr>
      </w:pPr>
      <w:r>
        <w:rPr>
          <w:lang w:val="lv-LV"/>
        </w:rPr>
        <w:t xml:space="preserve">Piegādes pakalpojuma sniedzējs iepirkuma piedāvājumā norādīs piegādes cenu </w:t>
      </w:r>
      <w:r w:rsidR="007C17D2">
        <w:rPr>
          <w:lang w:val="lv-LV"/>
        </w:rPr>
        <w:t>vienai</w:t>
      </w:r>
      <w:r>
        <w:rPr>
          <w:lang w:val="lv-LV"/>
        </w:rPr>
        <w:t xml:space="preserve"> iestādei. </w:t>
      </w:r>
    </w:p>
    <w:p w14:paraId="5759B876" w14:textId="78B3F102" w:rsidR="009C19A2" w:rsidRDefault="009C19A2" w:rsidP="000465F3">
      <w:pPr>
        <w:ind w:firstLine="851"/>
        <w:jc w:val="both"/>
        <w:rPr>
          <w:lang w:val="lv-LV"/>
        </w:rPr>
      </w:pPr>
      <w:bookmarkStart w:id="1" w:name="_Hlk111148032"/>
      <w:r>
        <w:rPr>
          <w:lang w:val="lv-LV"/>
        </w:rPr>
        <w:t>Katra piegādes posma izdevumu apmērs tiks norādīts pieņemšanas – nodošanas aktā, iestāžu skaitu reizinot ar piegādes cenu 1 iestādei.</w:t>
      </w:r>
    </w:p>
    <w:bookmarkEnd w:id="1"/>
    <w:p w14:paraId="5EF2C332" w14:textId="22372FAE" w:rsidR="000465F3" w:rsidRDefault="000465F3" w:rsidP="000465F3">
      <w:pPr>
        <w:ind w:firstLine="851"/>
        <w:jc w:val="both"/>
        <w:rPr>
          <w:lang w:val="lv-LV"/>
        </w:rPr>
      </w:pPr>
    </w:p>
    <w:p w14:paraId="3A2CE9DF" w14:textId="7F85C6FA" w:rsidR="000465F3" w:rsidRDefault="000465F3" w:rsidP="000465F3">
      <w:pPr>
        <w:ind w:firstLine="851"/>
        <w:jc w:val="both"/>
        <w:rPr>
          <w:lang w:val="lv-LV"/>
        </w:rPr>
      </w:pPr>
      <w:r>
        <w:rPr>
          <w:lang w:val="lv-LV"/>
        </w:rPr>
        <w:t>Lai gūtu priekšstatu par piegādes posmu, zemāk kā piemērs norādīts darba uzdevums piegādēm, kas tika veiktas 2021./2022. mācību gadā</w:t>
      </w:r>
      <w:r w:rsidR="00CA78F2">
        <w:rPr>
          <w:lang w:val="lv-LV"/>
        </w:rPr>
        <w:t xml:space="preserve">, </w:t>
      </w:r>
      <w:r w:rsidR="00CA78F2" w:rsidRPr="00CA78F2">
        <w:rPr>
          <w:lang w:val="lv-LV"/>
        </w:rPr>
        <w:t>pasūtītājs precizēs katra piegādes posma darba uzdevumu tiklīdz tiks saņemta precīza informācija no citām valsts un pašvaldības iestādēm</w:t>
      </w:r>
      <w:r>
        <w:rPr>
          <w:lang w:val="lv-LV"/>
        </w:rPr>
        <w:t>.</w:t>
      </w:r>
    </w:p>
    <w:p w14:paraId="560029A5" w14:textId="5F4A87C4" w:rsidR="000465F3" w:rsidRDefault="000465F3" w:rsidP="000465F3">
      <w:pPr>
        <w:ind w:firstLine="851"/>
        <w:jc w:val="both"/>
        <w:rPr>
          <w:lang w:val="lv-LV"/>
        </w:rPr>
      </w:pPr>
    </w:p>
    <w:p w14:paraId="06B6A9C5" w14:textId="77777777" w:rsidR="000A0EBD" w:rsidRPr="000A0EBD" w:rsidRDefault="000A0EBD" w:rsidP="000A0EBD">
      <w:pPr>
        <w:jc w:val="both"/>
        <w:rPr>
          <w:b/>
          <w:bCs/>
          <w:i/>
          <w:iCs/>
          <w:lang w:val="lv-LV"/>
        </w:rPr>
      </w:pPr>
      <w:r w:rsidRPr="000A0EBD">
        <w:rPr>
          <w:b/>
          <w:bCs/>
          <w:i/>
          <w:iCs/>
          <w:lang w:val="lv-LV"/>
        </w:rPr>
        <w:t>Vienreizlietojamās ķirurģiskās sejas maskas</w:t>
      </w:r>
    </w:p>
    <w:p w14:paraId="289B9ECB" w14:textId="77777777" w:rsidR="000A0EBD" w:rsidRPr="000465F3" w:rsidRDefault="000A0EBD" w:rsidP="000A0EBD">
      <w:pPr>
        <w:jc w:val="both"/>
        <w:rPr>
          <w:i/>
          <w:iCs/>
          <w:lang w:val="lv-LV"/>
        </w:rPr>
      </w:pPr>
      <w:r w:rsidRPr="000465F3">
        <w:rPr>
          <w:i/>
          <w:iCs/>
          <w:lang w:val="lv-LV"/>
        </w:rPr>
        <w:t xml:space="preserve">1 lielajā iepakojumā vienību skaits: </w:t>
      </w:r>
      <w:r>
        <w:rPr>
          <w:i/>
          <w:iCs/>
          <w:lang w:val="lv-LV"/>
        </w:rPr>
        <w:t>800</w:t>
      </w:r>
      <w:r w:rsidRPr="000465F3">
        <w:rPr>
          <w:i/>
          <w:iCs/>
          <w:lang w:val="lv-LV"/>
        </w:rPr>
        <w:t xml:space="preserve"> gab.</w:t>
      </w:r>
    </w:p>
    <w:p w14:paraId="75279C5F" w14:textId="77777777" w:rsidR="000A0EBD" w:rsidRPr="000465F3" w:rsidRDefault="000A0EBD" w:rsidP="000A0EBD">
      <w:pPr>
        <w:jc w:val="both"/>
        <w:rPr>
          <w:i/>
          <w:iCs/>
          <w:lang w:val="lv-LV"/>
        </w:rPr>
      </w:pPr>
      <w:r w:rsidRPr="000465F3">
        <w:rPr>
          <w:i/>
          <w:iCs/>
          <w:lang w:val="lv-LV"/>
        </w:rPr>
        <w:t xml:space="preserve">1 lielā iepakojuma izmēri: </w:t>
      </w:r>
      <w:r>
        <w:rPr>
          <w:i/>
          <w:iCs/>
          <w:lang w:val="lv-LV"/>
        </w:rPr>
        <w:t>650x410x250</w:t>
      </w:r>
      <w:r w:rsidRPr="000465F3">
        <w:rPr>
          <w:i/>
          <w:iCs/>
          <w:lang w:val="lv-LV"/>
        </w:rPr>
        <w:t xml:space="preserve"> mm.</w:t>
      </w:r>
    </w:p>
    <w:p w14:paraId="0BA6E56C" w14:textId="77777777" w:rsidR="000A0EBD" w:rsidRPr="000465F3" w:rsidRDefault="000A0EBD" w:rsidP="000A0EBD">
      <w:pPr>
        <w:jc w:val="both"/>
        <w:rPr>
          <w:i/>
          <w:iCs/>
          <w:lang w:val="lv-LV"/>
        </w:rPr>
      </w:pPr>
      <w:r w:rsidRPr="000465F3">
        <w:rPr>
          <w:i/>
          <w:iCs/>
          <w:lang w:val="lv-LV"/>
        </w:rPr>
        <w:t xml:space="preserve">1 lielā iepakojuma svars: </w:t>
      </w:r>
      <w:r>
        <w:rPr>
          <w:i/>
          <w:iCs/>
          <w:lang w:val="lv-LV"/>
        </w:rPr>
        <w:t>13.70</w:t>
      </w:r>
      <w:r w:rsidRPr="000465F3">
        <w:rPr>
          <w:i/>
          <w:iCs/>
          <w:lang w:val="lv-LV"/>
        </w:rPr>
        <w:t xml:space="preserve"> kg.</w:t>
      </w:r>
    </w:p>
    <w:p w14:paraId="6DA5A4F8" w14:textId="77777777" w:rsidR="000A0EBD" w:rsidRDefault="000A0EBD" w:rsidP="000465F3">
      <w:pPr>
        <w:jc w:val="both"/>
        <w:rPr>
          <w:b/>
          <w:bCs/>
          <w:i/>
          <w:iCs/>
          <w:lang w:val="lv-LV"/>
        </w:rPr>
      </w:pPr>
    </w:p>
    <w:p w14:paraId="77EA8D09" w14:textId="58707782" w:rsidR="000465F3" w:rsidRPr="00BF7404" w:rsidRDefault="000465F3" w:rsidP="000465F3">
      <w:pPr>
        <w:jc w:val="both"/>
        <w:rPr>
          <w:b/>
          <w:bCs/>
          <w:i/>
          <w:iCs/>
          <w:lang w:val="lv-LV"/>
        </w:rPr>
      </w:pPr>
      <w:r w:rsidRPr="00BF7404">
        <w:rPr>
          <w:b/>
          <w:bCs/>
          <w:i/>
          <w:iCs/>
          <w:lang w:val="lv-LV"/>
        </w:rPr>
        <w:t>SARS-CoV-2 vīrusa antigēnu ātrās noteikšanas testi.</w:t>
      </w:r>
    </w:p>
    <w:p w14:paraId="7C318E1F" w14:textId="77777777" w:rsidR="000465F3" w:rsidRPr="000465F3" w:rsidRDefault="000465F3" w:rsidP="000465F3">
      <w:pPr>
        <w:jc w:val="both"/>
        <w:rPr>
          <w:i/>
          <w:iCs/>
          <w:lang w:val="lv-LV"/>
        </w:rPr>
      </w:pPr>
      <w:r w:rsidRPr="000465F3">
        <w:rPr>
          <w:i/>
          <w:iCs/>
          <w:lang w:val="lv-LV"/>
        </w:rPr>
        <w:t>1 lielajā iepakojumā vienību (testu) skaits: 888 gab.</w:t>
      </w:r>
    </w:p>
    <w:p w14:paraId="14264535" w14:textId="77777777" w:rsidR="000465F3" w:rsidRPr="000465F3" w:rsidRDefault="000465F3" w:rsidP="000465F3">
      <w:pPr>
        <w:jc w:val="both"/>
        <w:rPr>
          <w:i/>
          <w:iCs/>
          <w:lang w:val="lv-LV"/>
        </w:rPr>
      </w:pPr>
      <w:r w:rsidRPr="000465F3">
        <w:rPr>
          <w:i/>
          <w:iCs/>
          <w:lang w:val="lv-LV"/>
        </w:rPr>
        <w:t>1 lielā iepakojuma izmēri: 595x395x580 mm.</w:t>
      </w:r>
    </w:p>
    <w:p w14:paraId="1B39C52B" w14:textId="77777777" w:rsidR="000465F3" w:rsidRPr="000465F3" w:rsidRDefault="000465F3" w:rsidP="000465F3">
      <w:pPr>
        <w:jc w:val="both"/>
        <w:rPr>
          <w:i/>
          <w:iCs/>
          <w:lang w:val="lv-LV"/>
        </w:rPr>
      </w:pPr>
      <w:r w:rsidRPr="000465F3">
        <w:rPr>
          <w:i/>
          <w:iCs/>
          <w:lang w:val="lv-LV"/>
        </w:rPr>
        <w:lastRenderedPageBreak/>
        <w:t>1 lielā iepakojuma svars: 21 kg.</w:t>
      </w:r>
    </w:p>
    <w:p w14:paraId="124DBDF8" w14:textId="77777777" w:rsidR="000465F3" w:rsidRPr="000465F3" w:rsidRDefault="000465F3" w:rsidP="000465F3">
      <w:pPr>
        <w:jc w:val="both"/>
        <w:rPr>
          <w:i/>
          <w:iCs/>
          <w:lang w:val="lv-LV"/>
        </w:rPr>
      </w:pPr>
      <w:r w:rsidRPr="000465F3">
        <w:rPr>
          <w:i/>
          <w:iCs/>
          <w:lang w:val="lv-LV"/>
        </w:rPr>
        <w:t>Kopējais piegādājamo testu skaits 83166 gab.</w:t>
      </w:r>
    </w:p>
    <w:p w14:paraId="4B7D812D" w14:textId="77777777" w:rsidR="000465F3" w:rsidRPr="000465F3" w:rsidRDefault="000465F3" w:rsidP="000465F3">
      <w:pPr>
        <w:jc w:val="both"/>
        <w:rPr>
          <w:i/>
          <w:iCs/>
          <w:lang w:val="lv-LV"/>
        </w:rPr>
      </w:pPr>
      <w:r w:rsidRPr="000465F3">
        <w:rPr>
          <w:i/>
          <w:iCs/>
          <w:lang w:val="lv-LV"/>
        </w:rPr>
        <w:t>Kopējais sākotnējā iepakojuma skaits ~94 kastes.</w:t>
      </w:r>
    </w:p>
    <w:p w14:paraId="28D16A06" w14:textId="77777777" w:rsidR="000465F3" w:rsidRPr="000465F3" w:rsidRDefault="000465F3" w:rsidP="000465F3">
      <w:pPr>
        <w:jc w:val="both"/>
        <w:rPr>
          <w:i/>
          <w:iCs/>
          <w:lang w:val="lv-LV"/>
        </w:rPr>
      </w:pPr>
    </w:p>
    <w:p w14:paraId="04DD3762" w14:textId="77777777" w:rsidR="000465F3" w:rsidRPr="000465F3" w:rsidRDefault="000465F3" w:rsidP="000465F3">
      <w:pPr>
        <w:jc w:val="both"/>
        <w:rPr>
          <w:i/>
          <w:iCs/>
          <w:lang w:val="lv-LV"/>
        </w:rPr>
      </w:pPr>
      <w:r w:rsidRPr="000465F3">
        <w:rPr>
          <w:i/>
          <w:iCs/>
          <w:lang w:val="lv-LV"/>
        </w:rPr>
        <w:t>Darba uzdevums:</w:t>
      </w:r>
    </w:p>
    <w:p w14:paraId="35A25DDA" w14:textId="77777777" w:rsidR="000465F3" w:rsidRPr="000465F3" w:rsidRDefault="000465F3" w:rsidP="000465F3">
      <w:pPr>
        <w:jc w:val="both"/>
        <w:rPr>
          <w:i/>
          <w:iCs/>
          <w:lang w:val="lv-LV"/>
        </w:rPr>
      </w:pPr>
      <w:r w:rsidRPr="000465F3">
        <w:rPr>
          <w:i/>
          <w:iCs/>
          <w:lang w:val="lv-LV"/>
        </w:rPr>
        <w:t>1)</w:t>
      </w:r>
      <w:r w:rsidRPr="000465F3">
        <w:rPr>
          <w:i/>
          <w:iCs/>
          <w:lang w:val="lv-LV"/>
        </w:rPr>
        <w:tab/>
        <w:t>Nodrošināt testu pārpakošanu no esošajā uzglabāšanas vietā esošā iepakojuma uz mazāka izmēra iepakojumu, ko nodrošina piegādātājs, kurā ievietojams katrai iestādei paredzētais testu skaits.</w:t>
      </w:r>
    </w:p>
    <w:p w14:paraId="30F75754" w14:textId="77777777" w:rsidR="000465F3" w:rsidRPr="000465F3" w:rsidRDefault="000465F3" w:rsidP="000465F3">
      <w:pPr>
        <w:jc w:val="both"/>
        <w:rPr>
          <w:i/>
          <w:iCs/>
          <w:lang w:val="lv-LV"/>
        </w:rPr>
      </w:pPr>
      <w:r w:rsidRPr="000465F3">
        <w:rPr>
          <w:i/>
          <w:iCs/>
          <w:lang w:val="lv-LV"/>
        </w:rPr>
        <w:t>2)</w:t>
      </w:r>
      <w:r w:rsidRPr="000465F3">
        <w:rPr>
          <w:i/>
          <w:iCs/>
          <w:lang w:val="lv-LV"/>
        </w:rPr>
        <w:tab/>
        <w:t>Nodrošināt testu piegādi pievienotajā tabulā norādītajām 329 izglītības iestādēm uz tabulā norādītajām adresēm.</w:t>
      </w:r>
    </w:p>
    <w:p w14:paraId="1BDDF0E8" w14:textId="77777777" w:rsidR="000465F3" w:rsidRPr="000465F3" w:rsidRDefault="000465F3" w:rsidP="000465F3">
      <w:pPr>
        <w:jc w:val="both"/>
        <w:rPr>
          <w:i/>
          <w:iCs/>
          <w:lang w:val="lv-LV"/>
        </w:rPr>
      </w:pPr>
    </w:p>
    <w:p w14:paraId="2C6FC162" w14:textId="77777777" w:rsidR="000465F3" w:rsidRPr="000465F3" w:rsidRDefault="000465F3" w:rsidP="000465F3">
      <w:pPr>
        <w:jc w:val="both"/>
        <w:rPr>
          <w:i/>
          <w:iCs/>
          <w:lang w:val="lv-LV"/>
        </w:rPr>
      </w:pPr>
      <w:r w:rsidRPr="000465F3">
        <w:rPr>
          <w:i/>
          <w:iCs/>
          <w:lang w:val="lv-LV"/>
        </w:rPr>
        <w:t>Transportēšanas/uzglabāšanas nosacījumi: ne zemāk par – 2 grādiem un ne vairāk, kā +30 grādi.</w:t>
      </w:r>
    </w:p>
    <w:p w14:paraId="565AA2EB" w14:textId="77777777" w:rsidR="000465F3" w:rsidRPr="000465F3" w:rsidRDefault="000465F3" w:rsidP="000465F3">
      <w:pPr>
        <w:jc w:val="both"/>
        <w:rPr>
          <w:i/>
          <w:iCs/>
          <w:lang w:val="lv-LV"/>
        </w:rPr>
      </w:pPr>
      <w:r w:rsidRPr="000465F3">
        <w:rPr>
          <w:i/>
          <w:iCs/>
          <w:lang w:val="lv-LV"/>
        </w:rPr>
        <w:t>Piegādes termiņš līdz 31.03.2022.</w:t>
      </w:r>
    </w:p>
    <w:p w14:paraId="49474876" w14:textId="6E28F4CC" w:rsidR="000465F3" w:rsidRPr="000465F3" w:rsidRDefault="000465F3" w:rsidP="000465F3">
      <w:pPr>
        <w:jc w:val="both"/>
        <w:rPr>
          <w:i/>
          <w:iCs/>
          <w:lang w:val="lv-LV"/>
        </w:rPr>
      </w:pPr>
      <w:r w:rsidRPr="000465F3">
        <w:rPr>
          <w:i/>
          <w:iCs/>
          <w:lang w:val="lv-LV"/>
        </w:rPr>
        <w:t>Piegāde jānodrošina no esošas testu uzglabāšanas vietas – KAŅIERA IELA 15, LATGALES PRIEKŠPILSĒTA, RĪGA, LV-1063.</w:t>
      </w:r>
    </w:p>
    <w:p w14:paraId="006BDD5B" w14:textId="451792CC" w:rsidR="000465F3" w:rsidRDefault="000465F3" w:rsidP="000465F3">
      <w:pPr>
        <w:jc w:val="both"/>
        <w:rPr>
          <w:lang w:val="lv-LV"/>
        </w:rPr>
      </w:pPr>
    </w:p>
    <w:p w14:paraId="3467726E" w14:textId="6729F2F6" w:rsidR="000465F3" w:rsidRDefault="000A0EBD" w:rsidP="000465F3">
      <w:pPr>
        <w:jc w:val="both"/>
        <w:rPr>
          <w:lang w:val="lv-LV"/>
        </w:rPr>
      </w:pPr>
      <w:r>
        <w:rPr>
          <w:lang w:val="lv-LV"/>
        </w:rPr>
        <w:t>Attēliem ir tikai informatīva nozīme, lai gūtu priekšstatu par piegādes vienību parametriem:</w:t>
      </w:r>
    </w:p>
    <w:p w14:paraId="7FF582B0" w14:textId="77777777" w:rsidR="000A0EBD" w:rsidRDefault="000A0EBD" w:rsidP="000A0EBD">
      <w:pPr>
        <w:jc w:val="both"/>
        <w:rPr>
          <w:lang w:val="lv-LV"/>
        </w:rPr>
      </w:pPr>
      <w:r>
        <w:rPr>
          <w:noProof/>
        </w:rPr>
        <w:drawing>
          <wp:inline distT="0" distB="0" distL="0" distR="0" wp14:anchorId="08A398DF" wp14:editId="072C4B1A">
            <wp:extent cx="2994660" cy="2245912"/>
            <wp:effectExtent l="0" t="0" r="0" b="254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09634" cy="2257142"/>
                    </a:xfrm>
                    <a:prstGeom prst="rect">
                      <a:avLst/>
                    </a:prstGeom>
                    <a:noFill/>
                    <a:ln>
                      <a:noFill/>
                    </a:ln>
                  </pic:spPr>
                </pic:pic>
              </a:graphicData>
            </a:graphic>
          </wp:inline>
        </w:drawing>
      </w:r>
      <w:r>
        <w:rPr>
          <w:noProof/>
        </w:rPr>
        <w:drawing>
          <wp:inline distT="0" distB="0" distL="0" distR="0" wp14:anchorId="4949DEBD" wp14:editId="31F2DEA4">
            <wp:extent cx="2720340" cy="2040180"/>
            <wp:effectExtent l="0" t="0" r="3810"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51267" cy="2063374"/>
                    </a:xfrm>
                    <a:prstGeom prst="rect">
                      <a:avLst/>
                    </a:prstGeom>
                    <a:noFill/>
                    <a:ln>
                      <a:noFill/>
                    </a:ln>
                  </pic:spPr>
                </pic:pic>
              </a:graphicData>
            </a:graphic>
          </wp:inline>
        </w:drawing>
      </w:r>
      <w:r>
        <w:rPr>
          <w:noProof/>
        </w:rPr>
        <w:drawing>
          <wp:inline distT="0" distB="0" distL="0" distR="0" wp14:anchorId="4D53F538" wp14:editId="6AA61DB4">
            <wp:extent cx="2880360" cy="2160191"/>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7394" cy="2165466"/>
                    </a:xfrm>
                    <a:prstGeom prst="rect">
                      <a:avLst/>
                    </a:prstGeom>
                    <a:noFill/>
                    <a:ln>
                      <a:noFill/>
                    </a:ln>
                  </pic:spPr>
                </pic:pic>
              </a:graphicData>
            </a:graphic>
          </wp:inline>
        </w:drawing>
      </w:r>
      <w:r>
        <w:rPr>
          <w:noProof/>
        </w:rPr>
        <w:drawing>
          <wp:inline distT="0" distB="0" distL="0" distR="0" wp14:anchorId="1A2A18F3" wp14:editId="73B2E5E1">
            <wp:extent cx="2369820" cy="3159848"/>
            <wp:effectExtent l="0" t="0" r="0" b="254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7973" cy="3170719"/>
                    </a:xfrm>
                    <a:prstGeom prst="rect">
                      <a:avLst/>
                    </a:prstGeom>
                    <a:noFill/>
                    <a:ln>
                      <a:noFill/>
                    </a:ln>
                  </pic:spPr>
                </pic:pic>
              </a:graphicData>
            </a:graphic>
          </wp:inline>
        </w:drawing>
      </w:r>
    </w:p>
    <w:p w14:paraId="6E6E19E9" w14:textId="49130CA8" w:rsidR="000465F3" w:rsidRDefault="000465F3" w:rsidP="000465F3">
      <w:pPr>
        <w:jc w:val="both"/>
        <w:rPr>
          <w:lang w:val="lv-LV"/>
        </w:rPr>
      </w:pPr>
    </w:p>
    <w:p w14:paraId="00B8966E" w14:textId="77777777" w:rsidR="000B256E" w:rsidRPr="006601EB" w:rsidRDefault="000B256E" w:rsidP="000B256E">
      <w:pPr>
        <w:suppressAutoHyphens/>
        <w:jc w:val="both"/>
        <w:rPr>
          <w:color w:val="000000"/>
          <w:lang w:eastAsia="ar-SA"/>
        </w:rPr>
      </w:pPr>
      <w:proofErr w:type="spellStart"/>
      <w:r w:rsidRPr="006601EB">
        <w:rPr>
          <w:color w:val="000000"/>
          <w:lang w:eastAsia="ar-SA"/>
        </w:rPr>
        <w:t>Komisijas</w:t>
      </w:r>
      <w:proofErr w:type="spellEnd"/>
      <w:r w:rsidRPr="006601EB">
        <w:rPr>
          <w:color w:val="000000"/>
          <w:lang w:eastAsia="ar-SA"/>
        </w:rPr>
        <w:t xml:space="preserve"> priekšsēdētāja</w:t>
      </w:r>
      <w:r w:rsidRPr="006601EB">
        <w:rPr>
          <w:color w:val="000000"/>
          <w:lang w:eastAsia="ar-SA"/>
        </w:rPr>
        <w:tab/>
      </w:r>
      <w:r w:rsidRPr="006601EB">
        <w:rPr>
          <w:color w:val="000000"/>
          <w:lang w:eastAsia="ar-SA"/>
        </w:rPr>
        <w:tab/>
      </w:r>
      <w:r w:rsidRPr="006601EB">
        <w:rPr>
          <w:color w:val="000000"/>
          <w:lang w:eastAsia="ar-SA"/>
        </w:rPr>
        <w:tab/>
      </w:r>
      <w:r w:rsidRPr="006601EB">
        <w:rPr>
          <w:color w:val="000000"/>
          <w:lang w:eastAsia="ar-SA"/>
        </w:rPr>
        <w:tab/>
      </w:r>
      <w:r w:rsidRPr="006601EB">
        <w:rPr>
          <w:color w:val="000000"/>
          <w:lang w:eastAsia="ar-SA"/>
        </w:rPr>
        <w:tab/>
      </w:r>
      <w:r w:rsidRPr="006601EB">
        <w:rPr>
          <w:color w:val="000000"/>
          <w:lang w:eastAsia="ar-SA"/>
        </w:rPr>
        <w:tab/>
      </w:r>
      <w:proofErr w:type="spellStart"/>
      <w:r>
        <w:rPr>
          <w:color w:val="000000"/>
          <w:lang w:eastAsia="ar-SA"/>
        </w:rPr>
        <w:t>K.Graudumniece</w:t>
      </w:r>
      <w:proofErr w:type="spellEnd"/>
    </w:p>
    <w:p w14:paraId="446FA4BF" w14:textId="77777777" w:rsidR="000B256E" w:rsidRDefault="000B256E" w:rsidP="000B256E">
      <w:pPr>
        <w:suppressAutoHyphens/>
        <w:jc w:val="both"/>
        <w:rPr>
          <w:color w:val="000000"/>
          <w:lang w:eastAsia="ar-SA"/>
        </w:rPr>
      </w:pPr>
    </w:p>
    <w:p w14:paraId="224E937B" w14:textId="77777777" w:rsidR="000B256E" w:rsidRPr="006601EB" w:rsidRDefault="000B256E" w:rsidP="000B256E">
      <w:pPr>
        <w:suppressAutoHyphens/>
        <w:jc w:val="both"/>
        <w:rPr>
          <w:color w:val="000000"/>
          <w:lang w:eastAsia="ar-SA"/>
        </w:rPr>
      </w:pPr>
      <w:r w:rsidRPr="006601EB">
        <w:rPr>
          <w:color w:val="000000"/>
          <w:lang w:eastAsia="ar-SA"/>
        </w:rPr>
        <w:lastRenderedPageBreak/>
        <w:t>Graudumniece 67026892</w:t>
      </w:r>
    </w:p>
    <w:p w14:paraId="7AD96304" w14:textId="77777777" w:rsidR="000B256E" w:rsidRPr="000B256E" w:rsidRDefault="000B256E" w:rsidP="000465F3">
      <w:pPr>
        <w:jc w:val="both"/>
      </w:pPr>
    </w:p>
    <w:sectPr w:rsidR="000B256E" w:rsidRPr="000B256E" w:rsidSect="00A37396">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B7E1D" w14:textId="77777777" w:rsidR="000A0EBD" w:rsidRDefault="000A0EBD" w:rsidP="000A0EBD">
      <w:r>
        <w:separator/>
      </w:r>
    </w:p>
  </w:endnote>
  <w:endnote w:type="continuationSeparator" w:id="0">
    <w:p w14:paraId="53B01E4E" w14:textId="77777777" w:rsidR="000A0EBD" w:rsidRDefault="000A0EBD" w:rsidP="000A0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6042279"/>
      <w:docPartObj>
        <w:docPartGallery w:val="Page Numbers (Bottom of Page)"/>
        <w:docPartUnique/>
      </w:docPartObj>
    </w:sdtPr>
    <w:sdtEndPr/>
    <w:sdtContent>
      <w:p w14:paraId="50308879" w14:textId="4FEF6944" w:rsidR="000A0EBD" w:rsidRDefault="000A0EBD">
        <w:pPr>
          <w:pStyle w:val="Kjene"/>
          <w:jc w:val="center"/>
        </w:pPr>
        <w:r>
          <w:fldChar w:fldCharType="begin"/>
        </w:r>
        <w:r>
          <w:instrText>PAGE   \* MERGEFORMAT</w:instrText>
        </w:r>
        <w:r>
          <w:fldChar w:fldCharType="separate"/>
        </w:r>
        <w:r>
          <w:rPr>
            <w:lang w:val="lv-LV"/>
          </w:rPr>
          <w:t>2</w:t>
        </w:r>
        <w:r>
          <w:fldChar w:fldCharType="end"/>
        </w:r>
      </w:p>
    </w:sdtContent>
  </w:sdt>
  <w:p w14:paraId="1EBD61FB" w14:textId="77777777" w:rsidR="000A0EBD" w:rsidRDefault="000A0EB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78FC4" w14:textId="77777777" w:rsidR="000A0EBD" w:rsidRDefault="000A0EBD" w:rsidP="000A0EBD">
      <w:r>
        <w:separator/>
      </w:r>
    </w:p>
  </w:footnote>
  <w:footnote w:type="continuationSeparator" w:id="0">
    <w:p w14:paraId="78109907" w14:textId="77777777" w:rsidR="000A0EBD" w:rsidRDefault="000A0EBD" w:rsidP="000A0E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F3E"/>
    <w:rsid w:val="00044F3E"/>
    <w:rsid w:val="000465F3"/>
    <w:rsid w:val="000A0EBD"/>
    <w:rsid w:val="000B256E"/>
    <w:rsid w:val="00606308"/>
    <w:rsid w:val="007C17D2"/>
    <w:rsid w:val="009C19A2"/>
    <w:rsid w:val="00A37396"/>
    <w:rsid w:val="00B137CE"/>
    <w:rsid w:val="00BF7404"/>
    <w:rsid w:val="00CA78F2"/>
    <w:rsid w:val="00D726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5F07C"/>
  <w15:chartTrackingRefBased/>
  <w15:docId w15:val="{9D9F608D-5BC7-4283-8EA4-F347DCF52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F7404"/>
    <w:pPr>
      <w:spacing w:after="0" w:line="240" w:lineRule="auto"/>
    </w:pPr>
    <w:rPr>
      <w:rFonts w:ascii="Times New Roman" w:eastAsia="Times New Roman" w:hAnsi="Times New Roman" w:cs="Times New Roman"/>
      <w:sz w:val="24"/>
      <w:szCs w:val="24"/>
      <w:lang w:val="en-US"/>
    </w:rPr>
  </w:style>
  <w:style w:type="paragraph" w:styleId="Virsraksts2">
    <w:name w:val="heading 2"/>
    <w:basedOn w:val="Parasts"/>
    <w:next w:val="Parasts"/>
    <w:link w:val="Virsraksts2Rakstz"/>
    <w:uiPriority w:val="99"/>
    <w:qFormat/>
    <w:rsid w:val="000B256E"/>
    <w:pPr>
      <w:keepNext/>
      <w:suppressAutoHyphens/>
      <w:spacing w:before="240" w:after="60"/>
      <w:outlineLvl w:val="1"/>
    </w:pPr>
    <w:rPr>
      <w:rFonts w:ascii="Arial" w:eastAsia="Calibri" w:hAnsi="Arial" w:cs="Arial"/>
      <w:b/>
      <w:bCs/>
      <w:i/>
      <w:iCs/>
      <w:sz w:val="28"/>
      <w:szCs w:val="28"/>
      <w:lang w:val="en-GB"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0A0EBD"/>
    <w:pPr>
      <w:tabs>
        <w:tab w:val="center" w:pos="4153"/>
        <w:tab w:val="right" w:pos="8306"/>
      </w:tabs>
    </w:pPr>
  </w:style>
  <w:style w:type="character" w:customStyle="1" w:styleId="GalveneRakstz">
    <w:name w:val="Galvene Rakstz."/>
    <w:basedOn w:val="Noklusjumarindkopasfonts"/>
    <w:link w:val="Galvene"/>
    <w:uiPriority w:val="99"/>
    <w:rsid w:val="000A0EBD"/>
    <w:rPr>
      <w:rFonts w:ascii="Times New Roman" w:eastAsia="Times New Roman" w:hAnsi="Times New Roman" w:cs="Times New Roman"/>
      <w:sz w:val="24"/>
      <w:szCs w:val="24"/>
      <w:lang w:val="en-US"/>
    </w:rPr>
  </w:style>
  <w:style w:type="paragraph" w:styleId="Kjene">
    <w:name w:val="footer"/>
    <w:basedOn w:val="Parasts"/>
    <w:link w:val="KjeneRakstz"/>
    <w:uiPriority w:val="99"/>
    <w:unhideWhenUsed/>
    <w:rsid w:val="000A0EBD"/>
    <w:pPr>
      <w:tabs>
        <w:tab w:val="center" w:pos="4153"/>
        <w:tab w:val="right" w:pos="8306"/>
      </w:tabs>
    </w:pPr>
  </w:style>
  <w:style w:type="character" w:customStyle="1" w:styleId="KjeneRakstz">
    <w:name w:val="Kājene Rakstz."/>
    <w:basedOn w:val="Noklusjumarindkopasfonts"/>
    <w:link w:val="Kjene"/>
    <w:uiPriority w:val="99"/>
    <w:rsid w:val="000A0EBD"/>
    <w:rPr>
      <w:rFonts w:ascii="Times New Roman" w:eastAsia="Times New Roman" w:hAnsi="Times New Roman" w:cs="Times New Roman"/>
      <w:sz w:val="24"/>
      <w:szCs w:val="24"/>
      <w:lang w:val="en-US"/>
    </w:rPr>
  </w:style>
  <w:style w:type="character" w:customStyle="1" w:styleId="Virsraksts2Rakstz">
    <w:name w:val="Virsraksts 2 Rakstz."/>
    <w:basedOn w:val="Noklusjumarindkopasfonts"/>
    <w:link w:val="Virsraksts2"/>
    <w:uiPriority w:val="99"/>
    <w:rsid w:val="000B256E"/>
    <w:rPr>
      <w:rFonts w:ascii="Arial" w:eastAsia="Calibri" w:hAnsi="Arial" w:cs="Arial"/>
      <w:b/>
      <w:bCs/>
      <w:i/>
      <w:iCs/>
      <w:sz w:val="28"/>
      <w:szCs w:val="28"/>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2361</Words>
  <Characters>1346</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Graudumniece</dc:creator>
  <cp:keywords/>
  <dc:description/>
  <cp:lastModifiedBy>Kristīne Graudumniece</cp:lastModifiedBy>
  <cp:revision>7</cp:revision>
  <dcterms:created xsi:type="dcterms:W3CDTF">2022-08-11T10:56:00Z</dcterms:created>
  <dcterms:modified xsi:type="dcterms:W3CDTF">2022-08-11T19:24:00Z</dcterms:modified>
</cp:coreProperties>
</file>