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77777777" w:rsidR="00B2324C" w:rsidRPr="00F37136" w:rsidRDefault="00B2324C" w:rsidP="00233F11">
      <w:pPr>
        <w:spacing w:before="60" w:after="60"/>
        <w:jc w:val="center"/>
        <w:rPr>
          <w:lang w:val="lv-LV"/>
        </w:rPr>
      </w:pPr>
      <w:bookmarkStart w:id="0" w:name="_Hlk40701120"/>
      <w:bookmarkStart w:id="1" w:name="_Hlk43277620"/>
      <w:r w:rsidRPr="00F37136">
        <w:rPr>
          <w:lang w:val="lv-LV"/>
        </w:rPr>
        <w:t xml:space="preserve">Rīgas domes Izglītības, kultūras un sporta departamenta </w:t>
      </w:r>
    </w:p>
    <w:p w14:paraId="59E4DE80" w14:textId="77777777" w:rsidR="00B2324C" w:rsidRPr="00F37136" w:rsidRDefault="00B2324C" w:rsidP="00233F11">
      <w:pPr>
        <w:spacing w:before="60" w:after="60"/>
        <w:jc w:val="center"/>
        <w:rPr>
          <w:lang w:val="lv-LV"/>
        </w:rPr>
      </w:pPr>
      <w:r w:rsidRPr="00F37136">
        <w:rPr>
          <w:lang w:val="lv-LV"/>
        </w:rPr>
        <w:t>atklātā konkursa</w:t>
      </w:r>
    </w:p>
    <w:bookmarkEnd w:id="0"/>
    <w:bookmarkEnd w:id="1"/>
    <w:p w14:paraId="09C8C4FD" w14:textId="77777777" w:rsidR="00EA7450" w:rsidRPr="0014052F" w:rsidRDefault="00EA7450" w:rsidP="003636AE">
      <w:pPr>
        <w:jc w:val="center"/>
        <w:rPr>
          <w:b/>
          <w:bCs/>
          <w:szCs w:val="26"/>
          <w:lang w:val="lv-LV"/>
        </w:rPr>
      </w:pPr>
      <w:r w:rsidRPr="008A3A59">
        <w:rPr>
          <w:rFonts w:eastAsia="Calibri"/>
          <w:b/>
          <w:bCs/>
          <w:szCs w:val="26"/>
          <w:lang w:val="lv-LV"/>
        </w:rPr>
        <w:t>Portatīvo datoru apdrošināšanas pakalpojumi Rīgas domes Izglītības, kultūras un sporta departamenta padotībā esošo skolu vajadzībām</w:t>
      </w:r>
      <w:r w:rsidRPr="0014052F">
        <w:rPr>
          <w:b/>
          <w:bCs/>
          <w:szCs w:val="26"/>
          <w:lang w:val="lv-LV"/>
        </w:rPr>
        <w:t>”</w:t>
      </w:r>
    </w:p>
    <w:p w14:paraId="7639DA13" w14:textId="77777777" w:rsidR="00EA7450" w:rsidRPr="0014052F" w:rsidRDefault="00EA7450" w:rsidP="003636AE">
      <w:pPr>
        <w:jc w:val="center"/>
        <w:rPr>
          <w:szCs w:val="26"/>
          <w:lang w:val="lv-LV"/>
        </w:rPr>
      </w:pPr>
      <w:r w:rsidRPr="0014052F">
        <w:rPr>
          <w:szCs w:val="26"/>
          <w:lang w:val="lv-LV"/>
        </w:rPr>
        <w:t xml:space="preserve"> (identifikācijas Nr. RD IKSD 202</w:t>
      </w:r>
      <w:r>
        <w:rPr>
          <w:szCs w:val="26"/>
          <w:lang w:val="lv-LV"/>
        </w:rPr>
        <w:t>3</w:t>
      </w:r>
      <w:r w:rsidRPr="0014052F">
        <w:rPr>
          <w:szCs w:val="26"/>
          <w:lang w:val="lv-LV"/>
        </w:rPr>
        <w:t>/</w:t>
      </w:r>
      <w:r>
        <w:rPr>
          <w:szCs w:val="26"/>
          <w:lang w:val="lv-LV"/>
        </w:rPr>
        <w:t>3</w:t>
      </w:r>
      <w:r w:rsidRPr="0014052F">
        <w:rPr>
          <w:szCs w:val="26"/>
          <w:lang w:val="lv-LV"/>
        </w:rPr>
        <w:t>)</w:t>
      </w:r>
    </w:p>
    <w:p w14:paraId="247005A3" w14:textId="77777777" w:rsidR="00EA7450" w:rsidRPr="0014052F" w:rsidRDefault="00EA7450" w:rsidP="003636AE">
      <w:pPr>
        <w:jc w:val="center"/>
        <w:rPr>
          <w:b/>
          <w:bCs/>
          <w:szCs w:val="26"/>
          <w:lang w:val="lv-LV"/>
        </w:rPr>
      </w:pPr>
      <w:r w:rsidRPr="0014052F">
        <w:rPr>
          <w:b/>
          <w:bCs/>
          <w:szCs w:val="26"/>
          <w:lang w:val="lv-LV"/>
        </w:rPr>
        <w:t>ZIŅOJUMS</w:t>
      </w:r>
    </w:p>
    <w:p w14:paraId="78950611" w14:textId="77777777" w:rsidR="00EA7450" w:rsidRPr="000E7593" w:rsidRDefault="00EA7450" w:rsidP="003636AE">
      <w:pPr>
        <w:jc w:val="center"/>
        <w:rPr>
          <w:sz w:val="16"/>
          <w:szCs w:val="16"/>
          <w:lang w:val="lv-LV"/>
        </w:rPr>
      </w:pPr>
    </w:p>
    <w:p w14:paraId="0816C1CD" w14:textId="77777777" w:rsidR="00EA7450" w:rsidRPr="0014052F" w:rsidRDefault="00EA7450" w:rsidP="00EA7450">
      <w:pPr>
        <w:jc w:val="both"/>
        <w:rPr>
          <w:szCs w:val="26"/>
          <w:lang w:val="lv-LV" w:eastAsia="ar-SA"/>
        </w:rPr>
      </w:pPr>
      <w:r w:rsidRPr="0014052F">
        <w:rPr>
          <w:szCs w:val="26"/>
          <w:lang w:val="lv-LV" w:eastAsia="ar-SA"/>
        </w:rPr>
        <w:t xml:space="preserve">Rīgā, </w:t>
      </w:r>
      <w:r>
        <w:rPr>
          <w:szCs w:val="26"/>
          <w:lang w:val="lv-LV" w:eastAsia="ar-SA"/>
        </w:rPr>
        <w:t>04</w:t>
      </w:r>
      <w:r w:rsidRPr="0014052F">
        <w:rPr>
          <w:szCs w:val="26"/>
          <w:lang w:val="lv-LV" w:eastAsia="ar-SA"/>
        </w:rPr>
        <w:t>.0</w:t>
      </w:r>
      <w:r>
        <w:rPr>
          <w:szCs w:val="26"/>
          <w:lang w:val="lv-LV" w:eastAsia="ar-SA"/>
        </w:rPr>
        <w:t>4</w:t>
      </w:r>
      <w:r w:rsidRPr="0014052F">
        <w:rPr>
          <w:szCs w:val="26"/>
          <w:lang w:val="lv-LV" w:eastAsia="ar-SA"/>
        </w:rPr>
        <w:t>.202</w:t>
      </w:r>
      <w:r>
        <w:rPr>
          <w:szCs w:val="26"/>
          <w:lang w:val="lv-LV" w:eastAsia="ar-SA"/>
        </w:rPr>
        <w:t>3</w:t>
      </w:r>
      <w:r w:rsidRPr="0014052F">
        <w:rPr>
          <w:szCs w:val="26"/>
          <w:lang w:val="lv-LV" w:eastAsia="ar-SA"/>
        </w:rPr>
        <w:t>.</w:t>
      </w:r>
    </w:p>
    <w:tbl>
      <w:tblPr>
        <w:tblStyle w:val="Reatabula"/>
        <w:tblW w:w="10173" w:type="dxa"/>
        <w:tblLayout w:type="fixed"/>
        <w:tblLook w:val="04A0" w:firstRow="1" w:lastRow="0" w:firstColumn="1" w:lastColumn="0" w:noHBand="0" w:noVBand="1"/>
      </w:tblPr>
      <w:tblGrid>
        <w:gridCol w:w="3510"/>
        <w:gridCol w:w="6663"/>
      </w:tblGrid>
      <w:tr w:rsidR="00841889" w:rsidRPr="00EA7450" w14:paraId="7F37638C" w14:textId="77777777" w:rsidTr="00480BB1">
        <w:tc>
          <w:tcPr>
            <w:tcW w:w="3510" w:type="dxa"/>
          </w:tcPr>
          <w:p w14:paraId="017867A9" w14:textId="77777777" w:rsidR="007D4EAB" w:rsidRPr="00F37136" w:rsidRDefault="00116BA7" w:rsidP="00233F11">
            <w:pPr>
              <w:spacing w:before="60" w:after="60"/>
              <w:jc w:val="both"/>
              <w:rPr>
                <w:lang w:val="lv-LV" w:eastAsia="ar-SA"/>
              </w:rPr>
            </w:pPr>
            <w:r w:rsidRPr="00F37136">
              <w:rPr>
                <w:lang w:val="lv-LV" w:eastAsia="ar-SA"/>
              </w:rPr>
              <w:t>Pasūtītājs</w:t>
            </w:r>
          </w:p>
        </w:tc>
        <w:tc>
          <w:tcPr>
            <w:tcW w:w="6663" w:type="dxa"/>
          </w:tcPr>
          <w:p w14:paraId="032D62E3" w14:textId="79139D03" w:rsidR="007D4EAB" w:rsidRPr="00EA7450" w:rsidRDefault="00EA7450" w:rsidP="00233F11">
            <w:pPr>
              <w:spacing w:before="60" w:after="60"/>
              <w:jc w:val="both"/>
              <w:rPr>
                <w:color w:val="FF0000"/>
                <w:lang w:val="lv-LV" w:eastAsia="ar-SA"/>
              </w:rPr>
            </w:pPr>
            <w:r w:rsidRPr="0014052F">
              <w:rPr>
                <w:szCs w:val="26"/>
                <w:lang w:val="lv-LV" w:eastAsia="ar-SA"/>
              </w:rPr>
              <w:t xml:space="preserve">Rīgas domes Izglītības, kultūras un sporta departaments (adrese: Krišjāņa Valdemāra ielā 5, Rīgā, LV-1010, RD iestādes kods: 210) ir Rīgas </w:t>
            </w:r>
            <w:proofErr w:type="spellStart"/>
            <w:r w:rsidRPr="0014052F">
              <w:rPr>
                <w:szCs w:val="26"/>
                <w:lang w:val="lv-LV" w:eastAsia="ar-SA"/>
              </w:rPr>
              <w:t>valstpilsētas</w:t>
            </w:r>
            <w:proofErr w:type="spellEnd"/>
            <w:r w:rsidRPr="0014052F">
              <w:rPr>
                <w:szCs w:val="26"/>
                <w:lang w:val="lv-LV" w:eastAsia="ar-SA"/>
              </w:rPr>
              <w:t xml:space="preserve"> pašvaldības (adrese: Rātslaukums 1, Rīga, LV-1050, NMR kods: 90011524360, PVN </w:t>
            </w:r>
            <w:proofErr w:type="spellStart"/>
            <w:r w:rsidRPr="0014052F">
              <w:rPr>
                <w:szCs w:val="26"/>
                <w:lang w:val="lv-LV" w:eastAsia="ar-SA"/>
              </w:rPr>
              <w:t>reģ</w:t>
            </w:r>
            <w:proofErr w:type="spellEnd"/>
            <w:r w:rsidRPr="0014052F">
              <w:rPr>
                <w:szCs w:val="26"/>
                <w:lang w:val="lv-LV" w:eastAsia="ar-SA"/>
              </w:rPr>
              <w:t>. nr.: LV90011524360) struktūrvienība</w:t>
            </w:r>
          </w:p>
        </w:tc>
      </w:tr>
      <w:tr w:rsidR="00841889" w:rsidRPr="00F37136" w14:paraId="02BE32D1" w14:textId="77777777" w:rsidTr="00480BB1">
        <w:tc>
          <w:tcPr>
            <w:tcW w:w="3510" w:type="dxa"/>
          </w:tcPr>
          <w:p w14:paraId="0AF2E955"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identifikācijas numurs</w:t>
            </w:r>
          </w:p>
        </w:tc>
        <w:tc>
          <w:tcPr>
            <w:tcW w:w="6663" w:type="dxa"/>
          </w:tcPr>
          <w:p w14:paraId="23EE2996" w14:textId="6C3CB01A" w:rsidR="007D4EAB" w:rsidRPr="00EA7450" w:rsidRDefault="00EA7450" w:rsidP="00233F11">
            <w:pPr>
              <w:spacing w:before="60" w:after="60"/>
              <w:jc w:val="both"/>
              <w:rPr>
                <w:color w:val="FF0000"/>
                <w:lang w:val="lv-LV" w:eastAsia="ar-SA"/>
              </w:rPr>
            </w:pPr>
            <w:r w:rsidRPr="0014052F">
              <w:rPr>
                <w:szCs w:val="26"/>
                <w:lang w:val="lv-LV" w:eastAsia="ar-SA"/>
              </w:rPr>
              <w:t>RD IKSD 202</w:t>
            </w:r>
            <w:r>
              <w:rPr>
                <w:szCs w:val="26"/>
                <w:lang w:val="lv-LV" w:eastAsia="ar-SA"/>
              </w:rPr>
              <w:t>3</w:t>
            </w:r>
            <w:r w:rsidRPr="0014052F">
              <w:rPr>
                <w:szCs w:val="26"/>
                <w:lang w:val="lv-LV" w:eastAsia="ar-SA"/>
              </w:rPr>
              <w:t>/</w:t>
            </w:r>
            <w:r>
              <w:rPr>
                <w:szCs w:val="26"/>
                <w:lang w:val="lv-LV" w:eastAsia="ar-SA"/>
              </w:rPr>
              <w:t>3</w:t>
            </w:r>
          </w:p>
        </w:tc>
      </w:tr>
      <w:tr w:rsidR="00841889" w:rsidRPr="00EA7450" w14:paraId="1ECE97A0" w14:textId="77777777" w:rsidTr="00480BB1">
        <w:tc>
          <w:tcPr>
            <w:tcW w:w="3510" w:type="dxa"/>
          </w:tcPr>
          <w:p w14:paraId="55B02ECD"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procedūras veids</w:t>
            </w:r>
          </w:p>
        </w:tc>
        <w:tc>
          <w:tcPr>
            <w:tcW w:w="6663" w:type="dxa"/>
          </w:tcPr>
          <w:p w14:paraId="63005520" w14:textId="6D64B3BE" w:rsidR="007D4EAB" w:rsidRPr="00EA7450" w:rsidRDefault="00EA7450" w:rsidP="00233F11">
            <w:pPr>
              <w:spacing w:before="60" w:after="60"/>
              <w:jc w:val="both"/>
              <w:rPr>
                <w:color w:val="FF0000"/>
                <w:lang w:val="lv-LV" w:eastAsia="ar-SA"/>
              </w:rPr>
            </w:pPr>
            <w:r w:rsidRPr="0014052F">
              <w:rPr>
                <w:szCs w:val="26"/>
                <w:lang w:val="lv-LV" w:eastAsia="ar-SA"/>
              </w:rPr>
              <w:t xml:space="preserve">Atklāts konkurss </w:t>
            </w:r>
            <w:r w:rsidRPr="0014052F">
              <w:rPr>
                <w:szCs w:val="26"/>
                <w:lang w:val="lv-LV"/>
              </w:rPr>
              <w:t>atbilstoši Publisko iepirkumu likuma (turpmāk – PIL) 8. panta pirmās daļas 1. punktam un</w:t>
            </w:r>
            <w:r w:rsidRPr="0014052F">
              <w:rPr>
                <w:bCs/>
                <w:szCs w:val="26"/>
                <w:lang w:val="lv-LV"/>
              </w:rPr>
              <w:t xml:space="preserve"> Ministru kabineta 28.02.2017. noteikumiem Nr.107 “Iepirkuma procedūru un metu konkursu norises kārtība”.</w:t>
            </w:r>
          </w:p>
        </w:tc>
      </w:tr>
      <w:tr w:rsidR="00841889" w:rsidRPr="00EA7450" w14:paraId="1E523646" w14:textId="77777777" w:rsidTr="00480BB1">
        <w:tc>
          <w:tcPr>
            <w:tcW w:w="3510" w:type="dxa"/>
          </w:tcPr>
          <w:p w14:paraId="769B9749" w14:textId="77777777" w:rsidR="00116BA7" w:rsidRPr="00F37136" w:rsidRDefault="007E7325" w:rsidP="00233F11">
            <w:pPr>
              <w:spacing w:before="60" w:after="60"/>
              <w:jc w:val="both"/>
              <w:rPr>
                <w:lang w:val="lv-LV"/>
              </w:rPr>
            </w:pPr>
            <w:r w:rsidRPr="00F37136">
              <w:rPr>
                <w:lang w:val="lv-LV"/>
              </w:rPr>
              <w:t>Iepirkuma</w:t>
            </w:r>
            <w:r w:rsidR="00116BA7" w:rsidRPr="00F37136">
              <w:rPr>
                <w:lang w:val="lv-LV"/>
              </w:rPr>
              <w:t xml:space="preserve"> priekšmets</w:t>
            </w:r>
          </w:p>
        </w:tc>
        <w:tc>
          <w:tcPr>
            <w:tcW w:w="6663" w:type="dxa"/>
          </w:tcPr>
          <w:p w14:paraId="1BD701C4" w14:textId="77777777" w:rsidR="00EA7450" w:rsidRDefault="00EA7450" w:rsidP="00EA7450">
            <w:pPr>
              <w:tabs>
                <w:tab w:val="left" w:pos="1134"/>
              </w:tabs>
              <w:jc w:val="both"/>
              <w:rPr>
                <w:rFonts w:eastAsia="Calibri"/>
                <w:szCs w:val="26"/>
                <w:lang w:val="lv-LV"/>
              </w:rPr>
            </w:pPr>
            <w:r>
              <w:rPr>
                <w:rFonts w:eastAsia="Calibri"/>
                <w:szCs w:val="26"/>
                <w:lang w:val="lv-LV"/>
              </w:rPr>
              <w:t>P</w:t>
            </w:r>
            <w:r w:rsidRPr="008A3A59">
              <w:rPr>
                <w:rFonts w:eastAsia="Calibri"/>
                <w:szCs w:val="26"/>
                <w:lang w:val="lv-LV"/>
              </w:rPr>
              <w:t>ortatīvo datoru apdrošināšanas pakalpojumi Rīgas domes Izglītības, kultūras un sporta departamenta</w:t>
            </w:r>
            <w:r>
              <w:rPr>
                <w:rFonts w:eastAsia="Calibri"/>
                <w:szCs w:val="26"/>
                <w:lang w:val="lv-LV"/>
              </w:rPr>
              <w:t xml:space="preserve"> </w:t>
            </w:r>
            <w:r w:rsidRPr="008A3A59">
              <w:rPr>
                <w:rFonts w:eastAsia="Calibri"/>
                <w:szCs w:val="26"/>
                <w:lang w:val="lv-LV"/>
              </w:rPr>
              <w:t>padotībā esošo skolu vajadzībām</w:t>
            </w:r>
            <w:r>
              <w:rPr>
                <w:rFonts w:eastAsia="Calibri"/>
                <w:szCs w:val="26"/>
                <w:lang w:val="lv-LV"/>
              </w:rPr>
              <w:t>.</w:t>
            </w:r>
          </w:p>
          <w:p w14:paraId="053D5E2A" w14:textId="226B81E3" w:rsidR="00FA29F5" w:rsidRPr="00EA7450" w:rsidRDefault="00EA7450" w:rsidP="00EA7450">
            <w:pPr>
              <w:spacing w:line="276" w:lineRule="auto"/>
              <w:jc w:val="both"/>
              <w:rPr>
                <w:bCs/>
                <w:color w:val="FF0000"/>
                <w:lang w:val="lv-LV"/>
              </w:rPr>
            </w:pPr>
            <w:r w:rsidRPr="0014052F">
              <w:rPr>
                <w:rFonts w:eastAsia="Calibri"/>
                <w:szCs w:val="26"/>
                <w:lang w:val="lv-LV"/>
              </w:rPr>
              <w:t>Iepirkuma nomenklatūra (CPV)-</w:t>
            </w:r>
            <w:r w:rsidRPr="008A3A59">
              <w:rPr>
                <w:rFonts w:eastAsia="Calibri"/>
                <w:szCs w:val="26"/>
                <w:lang w:val="lv-LV"/>
              </w:rPr>
              <w:t xml:space="preserve"> 66510000-8</w:t>
            </w:r>
            <w:r>
              <w:rPr>
                <w:rFonts w:eastAsia="Calibri"/>
                <w:szCs w:val="26"/>
                <w:lang w:val="lv-LV"/>
              </w:rPr>
              <w:t xml:space="preserve"> A</w:t>
            </w:r>
            <w:r w:rsidRPr="008A3A59">
              <w:rPr>
                <w:rFonts w:eastAsia="Calibri"/>
                <w:szCs w:val="26"/>
                <w:lang w:val="lv-LV"/>
              </w:rPr>
              <w:t>pdrošināšanas pakalpojumi</w:t>
            </w:r>
            <w:r>
              <w:rPr>
                <w:rFonts w:eastAsia="Calibri"/>
                <w:szCs w:val="26"/>
                <w:lang w:val="lv-LV"/>
              </w:rPr>
              <w:t>.</w:t>
            </w:r>
          </w:p>
        </w:tc>
      </w:tr>
      <w:tr w:rsidR="00841889" w:rsidRPr="00EA7450" w14:paraId="4495ADEC" w14:textId="77777777" w:rsidTr="00480BB1">
        <w:tc>
          <w:tcPr>
            <w:tcW w:w="3510" w:type="dxa"/>
          </w:tcPr>
          <w:p w14:paraId="52F8CAB3" w14:textId="77777777" w:rsidR="00FD3A54" w:rsidRPr="00F37136" w:rsidRDefault="00FD3A54" w:rsidP="00233F11">
            <w:pPr>
              <w:spacing w:before="60" w:after="60"/>
              <w:jc w:val="both"/>
              <w:rPr>
                <w:lang w:val="lv-LV"/>
              </w:rPr>
            </w:pPr>
            <w:r w:rsidRPr="00F3713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EA7450" w:rsidRDefault="00FD3A54" w:rsidP="00233F11">
            <w:pPr>
              <w:spacing w:before="60" w:after="60"/>
              <w:jc w:val="both"/>
              <w:rPr>
                <w:lang w:val="lv-LV"/>
              </w:rPr>
            </w:pPr>
            <w:r w:rsidRPr="00EA7450">
              <w:rPr>
                <w:lang w:val="lv-LV"/>
              </w:rPr>
              <w:t>Eiropas Savienības Oficiālajā Vēstnesī</w:t>
            </w:r>
            <w:r w:rsidR="007E7325" w:rsidRPr="00EA7450">
              <w:rPr>
                <w:lang w:val="lv-LV"/>
              </w:rPr>
              <w:t xml:space="preserve"> – nav attiecināms</w:t>
            </w:r>
          </w:p>
          <w:p w14:paraId="3C5A5240" w14:textId="77777777" w:rsidR="00EA7450" w:rsidRPr="00EA7450" w:rsidRDefault="00EA7450" w:rsidP="00233F11">
            <w:pPr>
              <w:spacing w:before="60" w:after="60"/>
              <w:jc w:val="both"/>
              <w:rPr>
                <w:lang w:val="lv-LV"/>
              </w:rPr>
            </w:pPr>
            <w:r w:rsidRPr="00EA7450">
              <w:rPr>
                <w:lang w:val="lv-LV"/>
              </w:rPr>
              <w:t>Iepirkumu uzraudzības biroja tīmekļvietnē – 07.03.2023.</w:t>
            </w:r>
          </w:p>
          <w:p w14:paraId="65D8ADF0" w14:textId="7939E02F" w:rsidR="006B4ADC" w:rsidRPr="00EA7450" w:rsidRDefault="00F50062" w:rsidP="00233F11">
            <w:pPr>
              <w:spacing w:before="60" w:after="60"/>
              <w:jc w:val="both"/>
              <w:rPr>
                <w:color w:val="FF0000"/>
                <w:lang w:val="lv-LV"/>
              </w:rPr>
            </w:pPr>
            <w:hyperlink r:id="rId8" w:history="1">
              <w:r w:rsidR="006B4ADC" w:rsidRPr="00EA7450">
                <w:rPr>
                  <w:u w:val="single"/>
                  <w:lang w:val="lv-LV"/>
                </w:rPr>
                <w:t>Iepirkumu uzraudzības birojs (iub.gov.lv)</w:t>
              </w:r>
            </w:hyperlink>
          </w:p>
        </w:tc>
      </w:tr>
      <w:tr w:rsidR="00841889" w:rsidRPr="00F37136" w14:paraId="3FEE4850" w14:textId="77777777" w:rsidTr="00480BB1">
        <w:tc>
          <w:tcPr>
            <w:tcW w:w="3510" w:type="dxa"/>
          </w:tcPr>
          <w:p w14:paraId="3D3E197E" w14:textId="77777777" w:rsidR="008045DD" w:rsidRPr="00F37136" w:rsidRDefault="00FD3A54" w:rsidP="00233F11">
            <w:pPr>
              <w:spacing w:before="60" w:after="60"/>
              <w:jc w:val="both"/>
              <w:rPr>
                <w:lang w:val="lv-LV"/>
              </w:rPr>
            </w:pPr>
            <w:r w:rsidRPr="00F37136">
              <w:rPr>
                <w:lang w:val="lv-LV"/>
              </w:rPr>
              <w:t>Iepirkuma komisijas sastāvs un tās izveidošanas pamatojums, iepirkuma procedūras dokumentu sagatavotāji un pieaicinātie eksperti</w:t>
            </w:r>
          </w:p>
        </w:tc>
        <w:tc>
          <w:tcPr>
            <w:tcW w:w="6663" w:type="dxa"/>
          </w:tcPr>
          <w:p w14:paraId="7CE266D3" w14:textId="77777777" w:rsidR="00EA7450" w:rsidRPr="00F96C7C" w:rsidRDefault="00EA7450" w:rsidP="00EA7450">
            <w:pPr>
              <w:ind w:right="17"/>
              <w:jc w:val="both"/>
              <w:rPr>
                <w:lang w:val="lv-LV"/>
              </w:rPr>
            </w:pPr>
            <w:r w:rsidRPr="00F96C7C">
              <w:rPr>
                <w:lang w:val="lv-LV"/>
              </w:rPr>
              <w:t>Iepirkuma komisijas, kas izveidota pamatojoties uz Publisko iepirkumu likuma 24. pantu un saskaņā ar Departamenta 21.02.2023. rīkojumu Nr. DIKS-23-286-rs un 03.03.2023. rīkojuma grozījumiem Nr. DIKS-23-323-rs, šādā sastāvā:</w:t>
            </w:r>
          </w:p>
          <w:p w14:paraId="148FA66A" w14:textId="2BF50989" w:rsidR="00EA7450" w:rsidRPr="00F96C7C" w:rsidRDefault="00EA7450" w:rsidP="00EA7450">
            <w:pPr>
              <w:ind w:right="17"/>
              <w:jc w:val="both"/>
              <w:rPr>
                <w:lang w:val="lv-LV"/>
              </w:rPr>
            </w:pPr>
            <w:r w:rsidRPr="00F96C7C">
              <w:rPr>
                <w:lang w:val="lv-LV"/>
              </w:rPr>
              <w:t xml:space="preserve">Komisijas </w:t>
            </w:r>
            <w:r w:rsidR="00043246">
              <w:rPr>
                <w:lang w:val="lv-LV"/>
              </w:rPr>
              <w:t>priekšsēdētājs</w:t>
            </w:r>
            <w:r w:rsidRPr="00F96C7C">
              <w:rPr>
                <w:lang w:val="lv-LV"/>
              </w:rPr>
              <w:t>: Kristīne Graudumniece līdz 01.03.2023.</w:t>
            </w:r>
            <w:r w:rsidRPr="00F96C7C">
              <w:rPr>
                <w:lang w:val="lv-LV"/>
              </w:rPr>
              <w:t>;</w:t>
            </w:r>
          </w:p>
          <w:p w14:paraId="3F80DF6D" w14:textId="5F7AF06A" w:rsidR="00EA7450" w:rsidRPr="00F96C7C" w:rsidRDefault="00EA7450" w:rsidP="00EA7450">
            <w:pPr>
              <w:ind w:right="17"/>
              <w:jc w:val="both"/>
              <w:rPr>
                <w:lang w:val="lv-LV"/>
              </w:rPr>
            </w:pPr>
            <w:r w:rsidRPr="00F96C7C">
              <w:rPr>
                <w:lang w:val="lv-LV"/>
              </w:rPr>
              <w:t xml:space="preserve">Komisijas </w:t>
            </w:r>
            <w:r w:rsidR="00043246">
              <w:rPr>
                <w:lang w:val="lv-LV"/>
              </w:rPr>
              <w:t>priekšsēdētājs</w:t>
            </w:r>
            <w:r w:rsidRPr="00F96C7C">
              <w:rPr>
                <w:lang w:val="lv-LV"/>
              </w:rPr>
              <w:t>: Inese Liepa no 03.03.2023.</w:t>
            </w:r>
            <w:r w:rsidRPr="00F96C7C">
              <w:rPr>
                <w:lang w:val="lv-LV"/>
              </w:rPr>
              <w:t>;</w:t>
            </w:r>
          </w:p>
          <w:p w14:paraId="3F99D7EE" w14:textId="2384FC4E" w:rsidR="00EA7450" w:rsidRDefault="00EA7450" w:rsidP="00EA7450">
            <w:pPr>
              <w:ind w:right="17"/>
              <w:jc w:val="both"/>
              <w:rPr>
                <w:lang w:val="lv-LV"/>
              </w:rPr>
            </w:pPr>
            <w:r w:rsidRPr="00F96C7C">
              <w:rPr>
                <w:lang w:val="lv-LV"/>
              </w:rPr>
              <w:t xml:space="preserve">Komisijas </w:t>
            </w:r>
            <w:r w:rsidR="00043246" w:rsidRPr="00043246">
              <w:rPr>
                <w:lang w:val="lv-LV"/>
              </w:rPr>
              <w:t>priekšsēdētāj</w:t>
            </w:r>
            <w:r w:rsidR="00043246">
              <w:rPr>
                <w:lang w:val="lv-LV"/>
              </w:rPr>
              <w:t>a</w:t>
            </w:r>
            <w:r w:rsidRPr="00F96C7C">
              <w:rPr>
                <w:lang w:val="lv-LV"/>
              </w:rPr>
              <w:t xml:space="preserve"> vietnieks: Agita Forande</w:t>
            </w:r>
            <w:r w:rsidRPr="00F96C7C">
              <w:rPr>
                <w:lang w:val="lv-LV"/>
              </w:rPr>
              <w:t>;</w:t>
            </w:r>
          </w:p>
          <w:p w14:paraId="4B2EC107" w14:textId="1FCB6044" w:rsidR="00611372" w:rsidRPr="00F96C7C" w:rsidRDefault="00611372" w:rsidP="00EA7450">
            <w:pPr>
              <w:ind w:right="17"/>
              <w:jc w:val="both"/>
              <w:rPr>
                <w:lang w:val="lv-LV"/>
              </w:rPr>
            </w:pPr>
            <w:r w:rsidRPr="00611372">
              <w:rPr>
                <w:lang w:val="lv-LV"/>
              </w:rPr>
              <w:t>Sekretārs: Agita Forande</w:t>
            </w:r>
          </w:p>
          <w:p w14:paraId="0B5E68FC" w14:textId="55DF0451" w:rsidR="008045DD" w:rsidRPr="00F96C7C" w:rsidRDefault="00EA7450" w:rsidP="00EA7450">
            <w:pPr>
              <w:ind w:right="17"/>
              <w:jc w:val="both"/>
              <w:rPr>
                <w:lang w:val="lv-LV"/>
              </w:rPr>
            </w:pPr>
            <w:r w:rsidRPr="00F96C7C">
              <w:rPr>
                <w:lang w:val="lv-LV"/>
              </w:rPr>
              <w:t>Komisijas loceklis: Iluta Ādama</w:t>
            </w:r>
            <w:r w:rsidRPr="00F96C7C">
              <w:rPr>
                <w:lang w:val="lv-LV"/>
              </w:rPr>
              <w:t>.</w:t>
            </w:r>
          </w:p>
        </w:tc>
      </w:tr>
      <w:tr w:rsidR="00841889" w:rsidRPr="00F37136" w14:paraId="09F9FFDD" w14:textId="77777777" w:rsidTr="00480BB1">
        <w:tc>
          <w:tcPr>
            <w:tcW w:w="3510" w:type="dxa"/>
          </w:tcPr>
          <w:p w14:paraId="33590AD1" w14:textId="77777777" w:rsidR="00FD3A54" w:rsidRPr="00F96C7C" w:rsidRDefault="00FD3A54" w:rsidP="00233F11">
            <w:pPr>
              <w:spacing w:before="60" w:after="60"/>
              <w:jc w:val="both"/>
              <w:rPr>
                <w:lang w:val="lv-LV"/>
              </w:rPr>
            </w:pPr>
            <w:r w:rsidRPr="00F96C7C">
              <w:rPr>
                <w:lang w:val="lv-LV"/>
              </w:rPr>
              <w:t>Piedāvājumu iesniegšanas termiņš</w:t>
            </w:r>
          </w:p>
        </w:tc>
        <w:tc>
          <w:tcPr>
            <w:tcW w:w="6663" w:type="dxa"/>
          </w:tcPr>
          <w:p w14:paraId="7A00C106" w14:textId="68CA63C2" w:rsidR="00FD3A54" w:rsidRPr="00F96C7C" w:rsidRDefault="00FD3A54" w:rsidP="00233F11">
            <w:pPr>
              <w:spacing w:before="60" w:after="60"/>
              <w:jc w:val="both"/>
              <w:rPr>
                <w:lang w:val="lv-LV"/>
              </w:rPr>
            </w:pPr>
            <w:r w:rsidRPr="00F96C7C">
              <w:rPr>
                <w:lang w:val="lv-LV"/>
              </w:rPr>
              <w:t xml:space="preserve">Līdz </w:t>
            </w:r>
            <w:r w:rsidR="00F96C7C" w:rsidRPr="00F96C7C">
              <w:rPr>
                <w:szCs w:val="26"/>
                <w:lang w:val="lv-LV"/>
              </w:rPr>
              <w:t xml:space="preserve">24.03.2023. </w:t>
            </w:r>
            <w:r w:rsidRPr="00F96C7C">
              <w:rPr>
                <w:lang w:val="lv-LV"/>
              </w:rPr>
              <w:t>plkst.</w:t>
            </w:r>
            <w:r w:rsidR="00070752" w:rsidRPr="00F96C7C">
              <w:rPr>
                <w:lang w:val="lv-LV"/>
              </w:rPr>
              <w:t xml:space="preserve"> </w:t>
            </w:r>
            <w:r w:rsidRPr="00F96C7C">
              <w:rPr>
                <w:lang w:val="lv-LV"/>
              </w:rPr>
              <w:t>10</w:t>
            </w:r>
            <w:r w:rsidR="00070752" w:rsidRPr="00F96C7C">
              <w:rPr>
                <w:lang w:val="lv-LV"/>
              </w:rPr>
              <w:t>.</w:t>
            </w:r>
            <w:r w:rsidRPr="00F96C7C">
              <w:rPr>
                <w:lang w:val="lv-LV"/>
              </w:rPr>
              <w:t>00</w:t>
            </w:r>
          </w:p>
        </w:tc>
      </w:tr>
      <w:tr w:rsidR="00480BB1" w:rsidRPr="00F37136" w14:paraId="3F4ECFD3" w14:textId="77777777" w:rsidTr="00480BB1">
        <w:tc>
          <w:tcPr>
            <w:tcW w:w="3510" w:type="dxa"/>
          </w:tcPr>
          <w:p w14:paraId="075233DC" w14:textId="195B1110" w:rsidR="00480BB1" w:rsidRPr="00F37136" w:rsidRDefault="00480BB1" w:rsidP="00480BB1">
            <w:pPr>
              <w:spacing w:before="60" w:after="60"/>
              <w:jc w:val="both"/>
              <w:rPr>
                <w:lang w:val="lv-LV"/>
              </w:rPr>
            </w:pPr>
            <w:r w:rsidRPr="00F37136">
              <w:rPr>
                <w:lang w:val="lv-LV"/>
              </w:rPr>
              <w:t>Pretendentu nosaukumi, kuri iesnieguši piedāvājumus un piedāvātās cenas</w:t>
            </w:r>
          </w:p>
        </w:tc>
        <w:tc>
          <w:tcPr>
            <w:tcW w:w="6663" w:type="dxa"/>
          </w:tcPr>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170"/>
              <w:gridCol w:w="1593"/>
              <w:gridCol w:w="1907"/>
            </w:tblGrid>
            <w:tr w:rsidR="00F96C7C" w:rsidRPr="00B270C9" w14:paraId="09637A1F" w14:textId="77777777" w:rsidTr="00F96C7C">
              <w:tc>
                <w:tcPr>
                  <w:tcW w:w="525" w:type="pct"/>
                  <w:shd w:val="pct5" w:color="auto" w:fill="auto"/>
                </w:tcPr>
                <w:p w14:paraId="5EF2CCE6" w14:textId="23AB7EC7" w:rsidR="00B270C9" w:rsidRPr="00B270C9" w:rsidRDefault="00F96C7C" w:rsidP="00F96C7C">
                  <w:pPr>
                    <w:jc w:val="center"/>
                    <w:rPr>
                      <w:b/>
                      <w:bCs/>
                      <w:szCs w:val="26"/>
                      <w:lang w:val="lv-LV"/>
                    </w:rPr>
                  </w:pPr>
                  <w:bookmarkStart w:id="2" w:name="_Hlk130804105"/>
                  <w:r w:rsidRPr="00B270C9">
                    <w:rPr>
                      <w:b/>
                      <w:bCs/>
                      <w:szCs w:val="26"/>
                      <w:lang w:val="lv-LV"/>
                    </w:rPr>
                    <w:t>N</w:t>
                  </w:r>
                  <w:r w:rsidR="00B270C9" w:rsidRPr="00B270C9">
                    <w:rPr>
                      <w:b/>
                      <w:bCs/>
                      <w:szCs w:val="26"/>
                      <w:lang w:val="lv-LV"/>
                    </w:rPr>
                    <w:t>r</w:t>
                  </w:r>
                  <w:r w:rsidRPr="00B270C9">
                    <w:rPr>
                      <w:b/>
                      <w:bCs/>
                      <w:szCs w:val="26"/>
                      <w:lang w:val="lv-LV"/>
                    </w:rPr>
                    <w:t>.</w:t>
                  </w:r>
                </w:p>
                <w:p w14:paraId="3CC20551" w14:textId="51F27EAE" w:rsidR="00F96C7C" w:rsidRPr="00B270C9" w:rsidRDefault="00F96C7C" w:rsidP="00F96C7C">
                  <w:pPr>
                    <w:jc w:val="center"/>
                    <w:rPr>
                      <w:b/>
                      <w:bCs/>
                      <w:szCs w:val="26"/>
                      <w:lang w:val="lv-LV"/>
                    </w:rPr>
                  </w:pPr>
                  <w:r w:rsidRPr="00B270C9">
                    <w:rPr>
                      <w:b/>
                      <w:bCs/>
                      <w:szCs w:val="26"/>
                      <w:lang w:val="lv-LV"/>
                    </w:rPr>
                    <w:t>p.k.</w:t>
                  </w:r>
                </w:p>
              </w:tc>
              <w:tc>
                <w:tcPr>
                  <w:tcW w:w="1713" w:type="pct"/>
                  <w:shd w:val="pct5" w:color="auto" w:fill="auto"/>
                </w:tcPr>
                <w:p w14:paraId="7A52BF47" w14:textId="77777777" w:rsidR="00F96C7C" w:rsidRPr="00B270C9" w:rsidRDefault="00F96C7C" w:rsidP="00F96C7C">
                  <w:pPr>
                    <w:jc w:val="center"/>
                    <w:rPr>
                      <w:b/>
                      <w:bCs/>
                      <w:szCs w:val="26"/>
                      <w:lang w:val="lv-LV"/>
                    </w:rPr>
                  </w:pPr>
                  <w:r w:rsidRPr="00B270C9">
                    <w:rPr>
                      <w:b/>
                      <w:bCs/>
                      <w:szCs w:val="26"/>
                      <w:lang w:val="lv-LV"/>
                    </w:rPr>
                    <w:t>Pretendents</w:t>
                  </w:r>
                </w:p>
              </w:tc>
              <w:tc>
                <w:tcPr>
                  <w:tcW w:w="1257" w:type="pct"/>
                  <w:shd w:val="pct5" w:color="auto" w:fill="auto"/>
                </w:tcPr>
                <w:p w14:paraId="5380F23D" w14:textId="77777777" w:rsidR="00F96C7C" w:rsidRPr="00B270C9" w:rsidRDefault="00F96C7C" w:rsidP="00F96C7C">
                  <w:pPr>
                    <w:jc w:val="center"/>
                    <w:rPr>
                      <w:b/>
                      <w:bCs/>
                      <w:szCs w:val="26"/>
                      <w:lang w:val="lv-LV"/>
                    </w:rPr>
                  </w:pPr>
                  <w:r w:rsidRPr="00B270C9">
                    <w:rPr>
                      <w:b/>
                      <w:bCs/>
                      <w:lang w:val="lv-LV"/>
                    </w:rPr>
                    <w:t>Piedāvājuma iesniegšanas datums un laiks</w:t>
                  </w:r>
                </w:p>
              </w:tc>
              <w:tc>
                <w:tcPr>
                  <w:tcW w:w="1506" w:type="pct"/>
                  <w:shd w:val="pct5" w:color="auto" w:fill="auto"/>
                </w:tcPr>
                <w:p w14:paraId="14D9FA49" w14:textId="77777777" w:rsidR="00F96C7C" w:rsidRPr="00B270C9" w:rsidRDefault="00F96C7C" w:rsidP="00F96C7C">
                  <w:pPr>
                    <w:jc w:val="center"/>
                    <w:rPr>
                      <w:b/>
                      <w:bCs/>
                      <w:szCs w:val="26"/>
                      <w:lang w:val="lv-LV"/>
                    </w:rPr>
                  </w:pPr>
                  <w:r w:rsidRPr="00B270C9">
                    <w:rPr>
                      <w:b/>
                      <w:bCs/>
                      <w:szCs w:val="26"/>
                      <w:lang w:val="lv-LV"/>
                    </w:rPr>
                    <w:t>Cena bez PVN</w:t>
                  </w:r>
                </w:p>
              </w:tc>
            </w:tr>
            <w:tr w:rsidR="00F96C7C" w:rsidRPr="00B270C9" w14:paraId="595906A4" w14:textId="77777777" w:rsidTr="00F96C7C">
              <w:tc>
                <w:tcPr>
                  <w:tcW w:w="525" w:type="pct"/>
                  <w:shd w:val="clear" w:color="auto" w:fill="auto"/>
                </w:tcPr>
                <w:p w14:paraId="4850A232" w14:textId="77777777" w:rsidR="00F96C7C" w:rsidRPr="00B270C9" w:rsidRDefault="00F96C7C" w:rsidP="00F96C7C">
                  <w:pPr>
                    <w:jc w:val="both"/>
                    <w:rPr>
                      <w:bCs/>
                      <w:szCs w:val="26"/>
                      <w:lang w:val="lv-LV"/>
                    </w:rPr>
                  </w:pPr>
                  <w:r w:rsidRPr="00B270C9">
                    <w:rPr>
                      <w:bCs/>
                      <w:szCs w:val="26"/>
                      <w:lang w:val="lv-LV"/>
                    </w:rPr>
                    <w:t>1.</w:t>
                  </w:r>
                </w:p>
              </w:tc>
              <w:tc>
                <w:tcPr>
                  <w:tcW w:w="1713" w:type="pct"/>
                  <w:shd w:val="clear" w:color="auto" w:fill="auto"/>
                </w:tcPr>
                <w:p w14:paraId="23DFFCBC" w14:textId="4862EB77" w:rsidR="00F96C7C" w:rsidRPr="00B270C9" w:rsidRDefault="00F96C7C" w:rsidP="00F96C7C">
                  <w:pPr>
                    <w:rPr>
                      <w:b/>
                      <w:bCs/>
                      <w:szCs w:val="26"/>
                      <w:lang w:val="lv-LV"/>
                    </w:rPr>
                  </w:pPr>
                  <w:r w:rsidRPr="00B270C9">
                    <w:rPr>
                      <w:b/>
                      <w:bCs/>
                      <w:szCs w:val="26"/>
                      <w:lang w:val="lv-LV"/>
                    </w:rPr>
                    <w:t xml:space="preserve">"BTA </w:t>
                  </w:r>
                  <w:proofErr w:type="spellStart"/>
                  <w:r w:rsidRPr="00B270C9">
                    <w:rPr>
                      <w:b/>
                      <w:bCs/>
                      <w:szCs w:val="26"/>
                      <w:lang w:val="lv-LV"/>
                    </w:rPr>
                    <w:t>Baltic</w:t>
                  </w:r>
                  <w:proofErr w:type="spellEnd"/>
                  <w:r w:rsidRPr="00B270C9">
                    <w:rPr>
                      <w:b/>
                      <w:bCs/>
                      <w:szCs w:val="26"/>
                      <w:lang w:val="lv-LV"/>
                    </w:rPr>
                    <w:t xml:space="preserve"> Insurance </w:t>
                  </w:r>
                  <w:proofErr w:type="spellStart"/>
                  <w:r w:rsidRPr="00B270C9">
                    <w:rPr>
                      <w:b/>
                      <w:bCs/>
                      <w:szCs w:val="26"/>
                      <w:lang w:val="lv-LV"/>
                    </w:rPr>
                    <w:t>Company</w:t>
                  </w:r>
                  <w:proofErr w:type="spellEnd"/>
                  <w:r w:rsidRPr="00B270C9">
                    <w:rPr>
                      <w:b/>
                      <w:bCs/>
                      <w:szCs w:val="26"/>
                      <w:lang w:val="lv-LV"/>
                    </w:rPr>
                    <w:t>" AAS</w:t>
                  </w:r>
                </w:p>
              </w:tc>
              <w:tc>
                <w:tcPr>
                  <w:tcW w:w="1257" w:type="pct"/>
                  <w:shd w:val="clear" w:color="auto" w:fill="auto"/>
                </w:tcPr>
                <w:p w14:paraId="62EF822D" w14:textId="77777777" w:rsidR="00F96C7C" w:rsidRPr="00B270C9" w:rsidRDefault="00F96C7C" w:rsidP="00F96C7C">
                  <w:pPr>
                    <w:jc w:val="both"/>
                    <w:rPr>
                      <w:bCs/>
                      <w:szCs w:val="26"/>
                      <w:lang w:val="lv-LV"/>
                    </w:rPr>
                  </w:pPr>
                  <w:r w:rsidRPr="00B270C9">
                    <w:rPr>
                      <w:lang w:val="lv-LV"/>
                    </w:rPr>
                    <w:t>23.03.2023 plkst. 16:22</w:t>
                  </w:r>
                </w:p>
              </w:tc>
              <w:tc>
                <w:tcPr>
                  <w:tcW w:w="1506" w:type="pct"/>
                  <w:shd w:val="clear" w:color="auto" w:fill="auto"/>
                </w:tcPr>
                <w:p w14:paraId="1961D5F0" w14:textId="77777777" w:rsidR="00F96C7C" w:rsidRPr="00B270C9" w:rsidRDefault="00F96C7C" w:rsidP="00F96C7C">
                  <w:pPr>
                    <w:jc w:val="both"/>
                    <w:rPr>
                      <w:bCs/>
                      <w:szCs w:val="26"/>
                      <w:lang w:val="lv-LV"/>
                    </w:rPr>
                  </w:pPr>
                  <w:r w:rsidRPr="00B270C9">
                    <w:rPr>
                      <w:bCs/>
                      <w:szCs w:val="26"/>
                      <w:lang w:val="lv-LV"/>
                    </w:rPr>
                    <w:t>EUR 95 168.92</w:t>
                  </w:r>
                </w:p>
              </w:tc>
            </w:tr>
            <w:tr w:rsidR="00F96C7C" w:rsidRPr="00B270C9" w14:paraId="0FE30180" w14:textId="77777777" w:rsidTr="00F96C7C">
              <w:tc>
                <w:tcPr>
                  <w:tcW w:w="525" w:type="pct"/>
                  <w:shd w:val="clear" w:color="auto" w:fill="auto"/>
                </w:tcPr>
                <w:p w14:paraId="4760B318" w14:textId="77777777" w:rsidR="00F96C7C" w:rsidRPr="00B270C9" w:rsidRDefault="00F96C7C" w:rsidP="00F96C7C">
                  <w:pPr>
                    <w:jc w:val="both"/>
                    <w:rPr>
                      <w:bCs/>
                      <w:szCs w:val="26"/>
                      <w:lang w:val="lv-LV"/>
                    </w:rPr>
                  </w:pPr>
                  <w:r w:rsidRPr="00B270C9">
                    <w:rPr>
                      <w:bCs/>
                      <w:szCs w:val="26"/>
                      <w:lang w:val="lv-LV"/>
                    </w:rPr>
                    <w:t>2.</w:t>
                  </w:r>
                </w:p>
              </w:tc>
              <w:tc>
                <w:tcPr>
                  <w:tcW w:w="1713" w:type="pct"/>
                  <w:shd w:val="clear" w:color="auto" w:fill="auto"/>
                </w:tcPr>
                <w:p w14:paraId="63C380AD" w14:textId="77777777" w:rsidR="00F96C7C" w:rsidRPr="00B270C9" w:rsidRDefault="00F96C7C" w:rsidP="00F96C7C">
                  <w:pPr>
                    <w:rPr>
                      <w:b/>
                      <w:bCs/>
                      <w:szCs w:val="26"/>
                      <w:lang w:val="lv-LV"/>
                    </w:rPr>
                  </w:pPr>
                  <w:r w:rsidRPr="00B270C9">
                    <w:rPr>
                      <w:b/>
                      <w:bCs/>
                      <w:szCs w:val="26"/>
                      <w:lang w:val="lv-LV"/>
                    </w:rPr>
                    <w:t>"</w:t>
                  </w:r>
                  <w:proofErr w:type="spellStart"/>
                  <w:r w:rsidRPr="00B270C9">
                    <w:rPr>
                      <w:b/>
                      <w:bCs/>
                      <w:szCs w:val="26"/>
                      <w:lang w:val="lv-LV"/>
                    </w:rPr>
                    <w:t>Capital</w:t>
                  </w:r>
                  <w:proofErr w:type="spellEnd"/>
                  <w:r w:rsidRPr="00B270C9">
                    <w:rPr>
                      <w:b/>
                      <w:bCs/>
                      <w:szCs w:val="26"/>
                      <w:lang w:val="lv-LV"/>
                    </w:rPr>
                    <w:t>" AS</w:t>
                  </w:r>
                </w:p>
                <w:p w14:paraId="5E2C4855" w14:textId="77777777" w:rsidR="00F96C7C" w:rsidRPr="00B270C9" w:rsidRDefault="00F96C7C" w:rsidP="00F96C7C">
                  <w:pPr>
                    <w:rPr>
                      <w:b/>
                      <w:bCs/>
                      <w:szCs w:val="26"/>
                      <w:lang w:val="lv-LV"/>
                    </w:rPr>
                  </w:pPr>
                </w:p>
              </w:tc>
              <w:tc>
                <w:tcPr>
                  <w:tcW w:w="1257" w:type="pct"/>
                  <w:shd w:val="clear" w:color="auto" w:fill="auto"/>
                </w:tcPr>
                <w:p w14:paraId="63DFDCC3" w14:textId="77777777" w:rsidR="00F96C7C" w:rsidRPr="00B270C9" w:rsidRDefault="00F96C7C" w:rsidP="00F96C7C">
                  <w:pPr>
                    <w:jc w:val="both"/>
                    <w:rPr>
                      <w:bCs/>
                      <w:szCs w:val="26"/>
                      <w:lang w:val="lv-LV"/>
                    </w:rPr>
                  </w:pPr>
                  <w:r w:rsidRPr="00B270C9">
                    <w:rPr>
                      <w:lang w:val="lv-LV"/>
                    </w:rPr>
                    <w:t>24.03.2023 plkst. 09:22</w:t>
                  </w:r>
                </w:p>
              </w:tc>
              <w:tc>
                <w:tcPr>
                  <w:tcW w:w="1506" w:type="pct"/>
                  <w:shd w:val="clear" w:color="auto" w:fill="auto"/>
                </w:tcPr>
                <w:p w14:paraId="1E2516A9" w14:textId="77777777" w:rsidR="00F96C7C" w:rsidRPr="00B270C9" w:rsidRDefault="00F96C7C" w:rsidP="00F96C7C">
                  <w:pPr>
                    <w:jc w:val="both"/>
                    <w:rPr>
                      <w:bCs/>
                      <w:szCs w:val="26"/>
                      <w:lang w:val="lv-LV"/>
                    </w:rPr>
                  </w:pPr>
                  <w:r w:rsidRPr="00B270C9">
                    <w:rPr>
                      <w:bCs/>
                      <w:szCs w:val="26"/>
                      <w:lang w:val="lv-LV"/>
                    </w:rPr>
                    <w:t>EUR 99 902.88</w:t>
                  </w:r>
                </w:p>
              </w:tc>
            </w:tr>
            <w:bookmarkEnd w:id="2"/>
          </w:tbl>
          <w:p w14:paraId="779C394A" w14:textId="77777777" w:rsidR="00480BB1" w:rsidRPr="00EA7450" w:rsidRDefault="00480BB1" w:rsidP="00480BB1">
            <w:pPr>
              <w:spacing w:before="60" w:after="60"/>
              <w:jc w:val="both"/>
              <w:rPr>
                <w:color w:val="FF0000"/>
                <w:lang w:val="lv-LV"/>
              </w:rPr>
            </w:pPr>
          </w:p>
        </w:tc>
      </w:tr>
    </w:tbl>
    <w:p w14:paraId="43F6EC9B" w14:textId="77777777" w:rsidR="009879CC" w:rsidRDefault="009879CC" w:rsidP="00233F11">
      <w:pPr>
        <w:spacing w:before="60" w:after="60"/>
        <w:jc w:val="both"/>
        <w:rPr>
          <w:lang w:val="lv-LV"/>
        </w:rPr>
        <w:sectPr w:rsidR="009879CC" w:rsidSect="000E7593">
          <w:footerReference w:type="default" r:id="rId9"/>
          <w:pgSz w:w="11906" w:h="16838"/>
          <w:pgMar w:top="851" w:right="1134" w:bottom="1134" w:left="1276" w:header="709" w:footer="709" w:gutter="0"/>
          <w:cols w:space="708"/>
          <w:docGrid w:linePitch="360"/>
        </w:sectPr>
      </w:pPr>
    </w:p>
    <w:tbl>
      <w:tblPr>
        <w:tblStyle w:val="Reatabula"/>
        <w:tblW w:w="15134" w:type="dxa"/>
        <w:tblLayout w:type="fixed"/>
        <w:tblLook w:val="04A0" w:firstRow="1" w:lastRow="0" w:firstColumn="1" w:lastColumn="0" w:noHBand="0" w:noVBand="1"/>
      </w:tblPr>
      <w:tblGrid>
        <w:gridCol w:w="3510"/>
        <w:gridCol w:w="11624"/>
      </w:tblGrid>
      <w:tr w:rsidR="00841889" w:rsidRPr="00F37136" w14:paraId="217722FD" w14:textId="77777777" w:rsidTr="009879CC">
        <w:tc>
          <w:tcPr>
            <w:tcW w:w="3510" w:type="dxa"/>
          </w:tcPr>
          <w:p w14:paraId="56D97E5A" w14:textId="77777777" w:rsidR="00266ECF" w:rsidRPr="00F37136" w:rsidRDefault="00266ECF" w:rsidP="00233F11">
            <w:pPr>
              <w:spacing w:before="60" w:after="60"/>
              <w:jc w:val="both"/>
              <w:rPr>
                <w:lang w:val="lv-LV"/>
              </w:rPr>
            </w:pPr>
            <w:r w:rsidRPr="00F37136">
              <w:rPr>
                <w:lang w:val="lv-LV"/>
              </w:rPr>
              <w:lastRenderedPageBreak/>
              <w:t>Piedāvājumu atvēršanas vieta, datums un laiks</w:t>
            </w:r>
          </w:p>
        </w:tc>
        <w:tc>
          <w:tcPr>
            <w:tcW w:w="11624" w:type="dxa"/>
          </w:tcPr>
          <w:p w14:paraId="70D11DF5" w14:textId="5784190C" w:rsidR="00266ECF" w:rsidRPr="00EA7450" w:rsidRDefault="00B82EB3" w:rsidP="00233F11">
            <w:pPr>
              <w:spacing w:before="60" w:after="60"/>
              <w:jc w:val="both"/>
              <w:rPr>
                <w:color w:val="FF0000"/>
                <w:lang w:val="lv-LV"/>
              </w:rPr>
            </w:pPr>
            <w:r w:rsidRPr="00F96C7C">
              <w:rPr>
                <w:lang w:val="lv-LV"/>
              </w:rPr>
              <w:t xml:space="preserve">Valsts reģionālās attīstības aģentūras Elektronisko iepirkumu sistēmas </w:t>
            </w:r>
            <w:r w:rsidR="00266ECF" w:rsidRPr="00F96C7C">
              <w:rPr>
                <w:lang w:val="lv-LV"/>
              </w:rPr>
              <w:t xml:space="preserve">e-konkursu apakšsistēmas tīmekļvietnē www.eis.gov.lv </w:t>
            </w:r>
            <w:r w:rsidR="00F96C7C" w:rsidRPr="00F96C7C">
              <w:rPr>
                <w:lang w:val="lv-LV"/>
              </w:rPr>
              <w:t>24.03.2023. plkst. 14.00</w:t>
            </w:r>
            <w:r w:rsidR="001659C7">
              <w:rPr>
                <w:lang w:val="lv-LV"/>
              </w:rPr>
              <w:t>.</w:t>
            </w:r>
          </w:p>
        </w:tc>
      </w:tr>
      <w:tr w:rsidR="006F3A84" w:rsidRPr="00EA7450" w14:paraId="6459D8F2" w14:textId="77777777" w:rsidTr="009879CC">
        <w:tc>
          <w:tcPr>
            <w:tcW w:w="3510" w:type="dxa"/>
          </w:tcPr>
          <w:p w14:paraId="181101D9" w14:textId="77777777" w:rsidR="006F3A84" w:rsidRPr="00F37136" w:rsidRDefault="006F3A84" w:rsidP="00233F11">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11624" w:type="dxa"/>
          </w:tcPr>
          <w:p w14:paraId="380CAB1F" w14:textId="48215969" w:rsidR="00802C83" w:rsidRPr="001659C7" w:rsidRDefault="00802C83" w:rsidP="00233F11">
            <w:pPr>
              <w:spacing w:before="60" w:after="60"/>
              <w:jc w:val="both"/>
              <w:rPr>
                <w:lang w:val="lv-LV"/>
              </w:rPr>
            </w:pPr>
            <w:r w:rsidRPr="001659C7">
              <w:rPr>
                <w:lang w:val="lv-LV"/>
              </w:rPr>
              <w:t>V</w:t>
            </w:r>
            <w:r w:rsidRPr="001659C7">
              <w:rPr>
                <w:lang w:val="lv-LV"/>
              </w:rPr>
              <w:t>isu pretendentu saņemtie piedāvājumi atbilst Nolikumā noteiktajām noformēšanas un iesniegšanas prasībām.</w:t>
            </w:r>
          </w:p>
          <w:p w14:paraId="32A018D9" w14:textId="77777777" w:rsidR="000E7593" w:rsidRDefault="00F80221" w:rsidP="00233F11">
            <w:pPr>
              <w:spacing w:before="60" w:after="60"/>
              <w:jc w:val="both"/>
              <w:rPr>
                <w:lang w:val="lv-LV"/>
              </w:rPr>
            </w:pPr>
            <w:r w:rsidRPr="001659C7">
              <w:rPr>
                <w:lang w:val="lv-LV"/>
              </w:rPr>
              <w:t>Saskaņā ar Atklāta konkursa nolikuma 10.</w:t>
            </w:r>
            <w:r w:rsidR="001659C7" w:rsidRPr="001659C7">
              <w:rPr>
                <w:lang w:val="lv-LV"/>
              </w:rPr>
              <w:t>1</w:t>
            </w:r>
            <w:r w:rsidRPr="001659C7">
              <w:rPr>
                <w:lang w:val="lv-LV"/>
              </w:rPr>
              <w:t>. apakšpunktu, kvalifikācijas atbilstības pārbaude tiek veikta tikai pretendentam, kuram būtu piešķiramas iepirkuma līguma slēgšanas tiesības</w:t>
            </w:r>
            <w:r w:rsidR="000E7593">
              <w:rPr>
                <w:lang w:val="lv-LV"/>
              </w:rPr>
              <w:t>.</w:t>
            </w:r>
          </w:p>
          <w:p w14:paraId="391277D9" w14:textId="0E8DC6D8" w:rsidR="001659C7" w:rsidRDefault="007D788D" w:rsidP="000E7593">
            <w:pPr>
              <w:spacing w:before="60" w:after="60"/>
              <w:jc w:val="both"/>
              <w:rPr>
                <w:lang w:val="lv-LV"/>
              </w:rPr>
            </w:pPr>
            <w:r w:rsidRPr="001659C7">
              <w:rPr>
                <w:lang w:val="lv-LV"/>
              </w:rPr>
              <w:t xml:space="preserve"> </w:t>
            </w:r>
            <w:r w:rsidR="001659C7" w:rsidRPr="009879CC">
              <w:rPr>
                <w:lang w:val="lv-LV"/>
              </w:rPr>
              <w:t xml:space="preserve">Komisija atbilstoši Nolikuma 7. punkta “Pretendenta kvalifikācijas prasības un iesniedzamie dokumenti” veica </w:t>
            </w:r>
            <w:r w:rsidR="009879CC" w:rsidRPr="009879CC">
              <w:rPr>
                <w:lang w:val="lv-LV"/>
              </w:rPr>
              <w:t xml:space="preserve">Pretendenta </w:t>
            </w:r>
            <w:r w:rsidR="009879CC" w:rsidRPr="0099746E">
              <w:rPr>
                <w:b/>
                <w:bCs/>
                <w:lang w:val="lv-LV"/>
              </w:rPr>
              <w:t>AS “CAPITAL”</w:t>
            </w:r>
            <w:r w:rsidR="009879CC" w:rsidRPr="0099746E">
              <w:rPr>
                <w:b/>
                <w:bCs/>
                <w:lang w:val="lv-LV"/>
              </w:rPr>
              <w:t xml:space="preserve"> </w:t>
            </w:r>
            <w:r w:rsidR="0099746E" w:rsidRPr="0099746E">
              <w:rPr>
                <w:b/>
                <w:bCs/>
                <w:lang w:val="lv-LV"/>
              </w:rPr>
              <w:t xml:space="preserve">kvalifikācijas </w:t>
            </w:r>
            <w:r w:rsidR="009879CC" w:rsidRPr="0099746E">
              <w:rPr>
                <w:b/>
                <w:bCs/>
                <w:lang w:val="lv-LV"/>
              </w:rPr>
              <w:t>atbilstības pārbaudi</w:t>
            </w:r>
            <w:r w:rsidR="009879CC" w:rsidRPr="009879CC">
              <w:rPr>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900"/>
              <w:gridCol w:w="2977"/>
              <w:gridCol w:w="4394"/>
            </w:tblGrid>
            <w:tr w:rsidR="009879CC" w:rsidRPr="00083AAB" w14:paraId="353A41E1" w14:textId="77777777" w:rsidTr="009879CC">
              <w:tc>
                <w:tcPr>
                  <w:tcW w:w="1101" w:type="dxa"/>
                  <w:tcBorders>
                    <w:top w:val="single" w:sz="4" w:space="0" w:color="auto"/>
                    <w:left w:val="single" w:sz="4" w:space="0" w:color="auto"/>
                    <w:bottom w:val="single" w:sz="4" w:space="0" w:color="auto"/>
                    <w:right w:val="single" w:sz="4" w:space="0" w:color="auto"/>
                  </w:tcBorders>
                  <w:hideMark/>
                </w:tcPr>
                <w:p w14:paraId="6318224F" w14:textId="77777777" w:rsidR="009879CC" w:rsidRPr="00083AAB" w:rsidRDefault="009879CC" w:rsidP="009879CC">
                  <w:pPr>
                    <w:autoSpaceDE w:val="0"/>
                    <w:autoSpaceDN w:val="0"/>
                    <w:adjustRightInd w:val="0"/>
                    <w:ind w:right="432"/>
                    <w:jc w:val="center"/>
                    <w:rPr>
                      <w:color w:val="000000"/>
                      <w:sz w:val="20"/>
                      <w:szCs w:val="20"/>
                      <w:lang w:val="lv-LV" w:eastAsia="lv-LV"/>
                    </w:rPr>
                  </w:pPr>
                  <w:bookmarkStart w:id="3" w:name="_Hlk131501095"/>
                  <w:r w:rsidRPr="00083AAB">
                    <w:rPr>
                      <w:color w:val="000000"/>
                      <w:sz w:val="20"/>
                      <w:szCs w:val="20"/>
                      <w:lang w:val="lv-LV" w:eastAsia="lv-LV"/>
                    </w:rPr>
                    <w:t>7.2.2.</w:t>
                  </w:r>
                </w:p>
              </w:tc>
              <w:tc>
                <w:tcPr>
                  <w:tcW w:w="2900" w:type="dxa"/>
                  <w:tcBorders>
                    <w:top w:val="single" w:sz="4" w:space="0" w:color="auto"/>
                    <w:left w:val="single" w:sz="4" w:space="0" w:color="auto"/>
                    <w:bottom w:val="single" w:sz="4" w:space="0" w:color="auto"/>
                    <w:right w:val="single" w:sz="4" w:space="0" w:color="auto"/>
                  </w:tcBorders>
                </w:tcPr>
                <w:p w14:paraId="2FE918C7" w14:textId="77777777" w:rsidR="009879CC" w:rsidRPr="00083AAB" w:rsidRDefault="009879CC" w:rsidP="009879CC">
                  <w:pPr>
                    <w:jc w:val="both"/>
                    <w:rPr>
                      <w:b/>
                      <w:bCs/>
                      <w:i/>
                      <w:sz w:val="20"/>
                      <w:szCs w:val="20"/>
                      <w:shd w:val="clear" w:color="auto" w:fill="FFFFFF"/>
                      <w:lang w:val="lv-LV" w:eastAsia="lv-LV"/>
                    </w:rPr>
                  </w:pPr>
                  <w:r w:rsidRPr="00083AAB">
                    <w:rPr>
                      <w:sz w:val="20"/>
                      <w:szCs w:val="20"/>
                      <w:lang w:val="lv-LV" w:eastAsia="lv-LV"/>
                    </w:rPr>
                    <w:t xml:space="preserve">Apdrošināšanas vai pārapdrošināšanas komersants vai ārvalsts apdrošinātāja filiāle ir saņēmusi apdrošināšanas vai pārapdrošināšanas licenci saskaņā ar Apdrošināšanas un pārapdrošināšanas likumu un var uzsākt apdrošināšanas vai pārapdrošināšanas izplatīšanu. </w:t>
                  </w:r>
                </w:p>
              </w:tc>
              <w:tc>
                <w:tcPr>
                  <w:tcW w:w="2977" w:type="dxa"/>
                  <w:tcBorders>
                    <w:top w:val="single" w:sz="4" w:space="0" w:color="auto"/>
                    <w:left w:val="single" w:sz="4" w:space="0" w:color="auto"/>
                    <w:bottom w:val="single" w:sz="4" w:space="0" w:color="auto"/>
                    <w:right w:val="single" w:sz="4" w:space="0" w:color="auto"/>
                  </w:tcBorders>
                  <w:hideMark/>
                </w:tcPr>
                <w:p w14:paraId="1C68493C" w14:textId="77777777" w:rsidR="009879CC" w:rsidRPr="00083AAB" w:rsidRDefault="009879CC" w:rsidP="009879CC">
                  <w:pPr>
                    <w:widowControl w:val="0"/>
                    <w:tabs>
                      <w:tab w:val="left" w:pos="1134"/>
                    </w:tabs>
                    <w:jc w:val="both"/>
                    <w:rPr>
                      <w:rFonts w:eastAsia="Calibri"/>
                      <w:sz w:val="20"/>
                      <w:szCs w:val="20"/>
                      <w:lang w:val="lv-LV"/>
                    </w:rPr>
                  </w:pPr>
                  <w:r w:rsidRPr="00083AAB">
                    <w:rPr>
                      <w:sz w:val="20"/>
                      <w:szCs w:val="20"/>
                      <w:lang w:val="lv-LV" w:eastAsia="lv-LV"/>
                    </w:rPr>
                    <w:t xml:space="preserve">Pretendenta, t.sk ārvalstīs reģistrēta pretendenta, atbilstību noteiktajai prasībai iepirkuma komisija pārbauda Latvijas Bankas mājaslapā internetā </w:t>
                  </w:r>
                  <w:hyperlink r:id="rId10" w:history="1">
                    <w:r w:rsidRPr="00083AAB">
                      <w:rPr>
                        <w:rFonts w:eastAsia="Calibri"/>
                        <w:color w:val="0000FF"/>
                        <w:sz w:val="20"/>
                        <w:szCs w:val="20"/>
                        <w:u w:val="single"/>
                        <w:lang w:val="lv-LV"/>
                      </w:rPr>
                      <w:t>https://uzraudziba.bank.lv/tirgus-dalibnieki/apdrosinasanas-sabiedribas/</w:t>
                    </w:r>
                  </w:hyperlink>
                  <w:r w:rsidRPr="00083AAB">
                    <w:rPr>
                      <w:rFonts w:eastAsia="Calibri"/>
                      <w:sz w:val="20"/>
                      <w:szCs w:val="20"/>
                      <w:lang w:val="lv-LV"/>
                    </w:rPr>
                    <w:t xml:space="preserve"> </w:t>
                  </w:r>
                </w:p>
                <w:p w14:paraId="67CE4C73" w14:textId="77777777" w:rsidR="009879CC" w:rsidRPr="00083AAB" w:rsidRDefault="009879CC" w:rsidP="009879CC">
                  <w:pPr>
                    <w:widowControl w:val="0"/>
                    <w:tabs>
                      <w:tab w:val="left" w:pos="1134"/>
                    </w:tabs>
                    <w:jc w:val="both"/>
                    <w:rPr>
                      <w:rFonts w:eastAsia="Calibri"/>
                      <w:sz w:val="20"/>
                      <w:szCs w:val="20"/>
                      <w:lang w:val="lv-LV"/>
                    </w:rPr>
                  </w:pPr>
                </w:p>
                <w:p w14:paraId="7057C6D2" w14:textId="77777777" w:rsidR="009879CC" w:rsidRPr="00083AAB" w:rsidRDefault="009879CC" w:rsidP="009879CC">
                  <w:pPr>
                    <w:widowControl w:val="0"/>
                    <w:tabs>
                      <w:tab w:val="left" w:pos="1134"/>
                    </w:tabs>
                    <w:jc w:val="both"/>
                    <w:rPr>
                      <w:sz w:val="20"/>
                      <w:szCs w:val="20"/>
                      <w:lang w:val="lv-LV" w:eastAsia="lv-LV"/>
                    </w:rPr>
                  </w:pPr>
                  <w:r w:rsidRPr="00083AAB">
                    <w:rPr>
                      <w:sz w:val="20"/>
                      <w:szCs w:val="20"/>
                      <w:lang w:val="lv-LV" w:eastAsia="lv-LV"/>
                    </w:rPr>
                    <w:t>Sadaļas: “Tirgus dalībnieki”, “NEDZĪVĪBAS APDROŠINĀŠANAS SABIEDRĪBAS” vai “PAKALPOJUMU SNIEDZĒJI NO EEZ”.</w:t>
                  </w:r>
                </w:p>
              </w:tc>
              <w:tc>
                <w:tcPr>
                  <w:tcW w:w="4394" w:type="dxa"/>
                  <w:tcBorders>
                    <w:top w:val="single" w:sz="4" w:space="0" w:color="auto"/>
                    <w:left w:val="single" w:sz="4" w:space="0" w:color="auto"/>
                    <w:bottom w:val="single" w:sz="4" w:space="0" w:color="auto"/>
                    <w:right w:val="single" w:sz="4" w:space="0" w:color="auto"/>
                  </w:tcBorders>
                </w:tcPr>
                <w:p w14:paraId="72734778" w14:textId="77777777" w:rsidR="009879CC" w:rsidRPr="00083AAB" w:rsidRDefault="009879CC" w:rsidP="009879CC">
                  <w:pPr>
                    <w:widowControl w:val="0"/>
                    <w:tabs>
                      <w:tab w:val="left" w:pos="1134"/>
                    </w:tabs>
                    <w:jc w:val="both"/>
                    <w:rPr>
                      <w:sz w:val="20"/>
                      <w:szCs w:val="20"/>
                      <w:lang w:val="lv-LV" w:eastAsia="lv-LV"/>
                    </w:rPr>
                  </w:pPr>
                  <w:r w:rsidRPr="00083AAB">
                    <w:rPr>
                      <w:sz w:val="20"/>
                      <w:szCs w:val="20"/>
                      <w:lang w:val="lv-LV" w:eastAsia="lv-LV"/>
                    </w:rPr>
                    <w:t xml:space="preserve">Komisija atbilstoši Nolikuma 7. punkta “Pretendenta kvalifikācijas prasības un iesniedzamie dokumenti” 7.2.2. apakšpunkta prasībām, veica nolikumā noteiktajā kartībā Pretendenta pārbaudi Latvijas Bankas mājaslapā internetā https://uzraudziba.bank.lv/tirgus-dalibnieki/apdrosinasanas-sabiedribas/ un konstatēja, ka </w:t>
                  </w:r>
                  <w:r w:rsidRPr="00083AAB">
                    <w:rPr>
                      <w:b/>
                      <w:bCs/>
                      <w:sz w:val="20"/>
                      <w:szCs w:val="20"/>
                      <w:lang w:val="lv-LV" w:eastAsia="lv-LV"/>
                    </w:rPr>
                    <w:t>pretendents AS “CAPITAL” nav saņēmis apdrošināšanas licenci saskaņā ar Apdrošināšanas un pārapdrošināšanas likumu</w:t>
                  </w:r>
                  <w:r w:rsidRPr="00083AAB">
                    <w:rPr>
                      <w:sz w:val="20"/>
                      <w:szCs w:val="20"/>
                      <w:lang w:val="lv-LV" w:eastAsia="lv-LV"/>
                    </w:rPr>
                    <w:t>.</w:t>
                  </w:r>
                </w:p>
                <w:p w14:paraId="4B89B710" w14:textId="77777777" w:rsidR="009879CC" w:rsidRPr="00083AAB" w:rsidRDefault="009879CC" w:rsidP="009879CC">
                  <w:pPr>
                    <w:widowControl w:val="0"/>
                    <w:tabs>
                      <w:tab w:val="left" w:pos="1134"/>
                    </w:tabs>
                    <w:jc w:val="both"/>
                    <w:rPr>
                      <w:sz w:val="20"/>
                      <w:szCs w:val="20"/>
                      <w:lang w:val="lv-LV" w:eastAsia="lv-LV"/>
                    </w:rPr>
                  </w:pPr>
                </w:p>
                <w:p w14:paraId="7D40AD03" w14:textId="77777777" w:rsidR="009879CC" w:rsidRPr="00083AAB" w:rsidRDefault="009879CC" w:rsidP="009879CC">
                  <w:pPr>
                    <w:widowControl w:val="0"/>
                    <w:tabs>
                      <w:tab w:val="left" w:pos="1134"/>
                    </w:tabs>
                    <w:jc w:val="center"/>
                    <w:rPr>
                      <w:sz w:val="20"/>
                      <w:szCs w:val="20"/>
                      <w:lang w:val="lv-LV" w:eastAsia="lv-LV"/>
                    </w:rPr>
                  </w:pPr>
                  <w:r w:rsidRPr="00083AAB">
                    <w:rPr>
                      <w:color w:val="FF0000"/>
                      <w:sz w:val="20"/>
                      <w:szCs w:val="20"/>
                      <w:lang w:val="lv-LV" w:eastAsia="lv-LV"/>
                    </w:rPr>
                    <w:t>Neatbilst</w:t>
                  </w:r>
                </w:p>
              </w:tc>
            </w:tr>
            <w:bookmarkEnd w:id="3"/>
          </w:tbl>
          <w:p w14:paraId="70B3CFDF" w14:textId="77777777" w:rsidR="009879CC" w:rsidRDefault="009879CC" w:rsidP="009879CC">
            <w:pPr>
              <w:rPr>
                <w:lang w:val="lv-LV"/>
              </w:rPr>
            </w:pPr>
          </w:p>
          <w:p w14:paraId="5F809ED2" w14:textId="30F4C410" w:rsidR="009879CC" w:rsidRPr="001659C7" w:rsidRDefault="009879CC" w:rsidP="009879CC">
            <w:pPr>
              <w:rPr>
                <w:lang w:val="lv-LV"/>
              </w:rPr>
            </w:pPr>
          </w:p>
        </w:tc>
      </w:tr>
    </w:tbl>
    <w:p w14:paraId="7E960D16" w14:textId="77777777" w:rsidR="00372D60" w:rsidRPr="00F37136" w:rsidRDefault="00372D60" w:rsidP="00233F11">
      <w:pPr>
        <w:spacing w:before="60" w:after="60"/>
        <w:jc w:val="both"/>
        <w:rPr>
          <w:lang w:val="lv-LV"/>
        </w:rPr>
        <w:sectPr w:rsidR="00372D60" w:rsidRPr="00F37136" w:rsidSect="009879CC">
          <w:pgSz w:w="16838" w:h="11906" w:orient="landscape"/>
          <w:pgMar w:top="1276" w:right="992" w:bottom="1134" w:left="1134" w:header="709" w:footer="709" w:gutter="0"/>
          <w:cols w:space="708"/>
          <w:docGrid w:linePitch="360"/>
        </w:sectPr>
      </w:pPr>
    </w:p>
    <w:tbl>
      <w:tblPr>
        <w:tblStyle w:val="Reatabula"/>
        <w:tblW w:w="14283" w:type="dxa"/>
        <w:tblLayout w:type="fixed"/>
        <w:tblLook w:val="04A0" w:firstRow="1" w:lastRow="0" w:firstColumn="1" w:lastColumn="0" w:noHBand="0" w:noVBand="1"/>
      </w:tblPr>
      <w:tblGrid>
        <w:gridCol w:w="3510"/>
        <w:gridCol w:w="10773"/>
      </w:tblGrid>
      <w:tr w:rsidR="00C74DCE" w:rsidRPr="00F37136" w14:paraId="62B7B05E" w14:textId="77777777" w:rsidTr="00372D60">
        <w:tc>
          <w:tcPr>
            <w:tcW w:w="3510" w:type="dxa"/>
          </w:tcPr>
          <w:p w14:paraId="65E4A303" w14:textId="77777777" w:rsidR="00C74DCE" w:rsidRPr="00F37136" w:rsidRDefault="006F3A84" w:rsidP="00233F11">
            <w:pPr>
              <w:spacing w:before="60" w:after="60"/>
              <w:jc w:val="both"/>
              <w:rPr>
                <w:lang w:val="lv-LV"/>
              </w:rPr>
            </w:pPr>
            <w:r w:rsidRPr="00F37136">
              <w:rPr>
                <w:lang w:val="lv-LV"/>
              </w:rPr>
              <w:lastRenderedPageBreak/>
              <w:t>Finanšu piedāvājuma un a</w:t>
            </w:r>
            <w:r w:rsidR="00C74DCE" w:rsidRPr="00F37136">
              <w:rPr>
                <w:lang w:val="lv-LV"/>
              </w:rPr>
              <w:t xml:space="preserve">ritmētisko kļūdu </w:t>
            </w:r>
            <w:r w:rsidRPr="00F37136">
              <w:rPr>
                <w:lang w:val="lv-LV"/>
              </w:rPr>
              <w:t xml:space="preserve">pārbaude, veiktie </w:t>
            </w:r>
            <w:r w:rsidR="00C74DCE" w:rsidRPr="00F37136">
              <w:rPr>
                <w:lang w:val="lv-LV"/>
              </w:rPr>
              <w:t>labojumi un pretendentu piedāvātās cenas</w:t>
            </w:r>
          </w:p>
        </w:tc>
        <w:tc>
          <w:tcPr>
            <w:tcW w:w="10773" w:type="dxa"/>
          </w:tcPr>
          <w:p w14:paraId="584ADE05" w14:textId="7603E652" w:rsidR="0099746E" w:rsidRPr="00933B3F" w:rsidRDefault="0099746E" w:rsidP="0099746E">
            <w:pPr>
              <w:tabs>
                <w:tab w:val="left" w:pos="851"/>
              </w:tabs>
              <w:contextualSpacing/>
              <w:jc w:val="both"/>
              <w:rPr>
                <w:lang w:val="lv-LV"/>
              </w:rPr>
            </w:pPr>
            <w:r w:rsidRPr="006F561E">
              <w:rPr>
                <w:lang w:val="lv-LV"/>
              </w:rPr>
              <w:t xml:space="preserve">Komisija </w:t>
            </w:r>
            <w:r>
              <w:rPr>
                <w:lang w:val="lv-LV"/>
              </w:rPr>
              <w:t>veica</w:t>
            </w:r>
            <w:r w:rsidRPr="006F561E">
              <w:rPr>
                <w:lang w:val="lv-LV"/>
              </w:rPr>
              <w:t xml:space="preserve"> pretendentu iesniegto </w:t>
            </w:r>
            <w:r>
              <w:rPr>
                <w:lang w:val="lv-LV"/>
              </w:rPr>
              <w:t>finanšu piedāvājumu pārbaudi</w:t>
            </w:r>
            <w:r w:rsidRPr="006F561E">
              <w:rPr>
                <w:lang w:val="lv-LV"/>
              </w:rPr>
              <w:t xml:space="preserve"> un secin</w:t>
            </w:r>
            <w:r>
              <w:rPr>
                <w:lang w:val="lv-LV"/>
              </w:rPr>
              <w:t>āja</w:t>
            </w:r>
            <w:r w:rsidRPr="006F561E">
              <w:rPr>
                <w:lang w:val="lv-LV"/>
              </w:rPr>
              <w:t xml:space="preserve">, ka </w:t>
            </w:r>
            <w:bookmarkStart w:id="4" w:name="_Hlk131414138"/>
            <w:bookmarkStart w:id="5" w:name="_Hlk131069095"/>
            <w:r w:rsidRPr="00BE5E67">
              <w:rPr>
                <w:b/>
                <w:bCs/>
                <w:lang w:val="lv-LV"/>
              </w:rPr>
              <w:t xml:space="preserve">“BTA </w:t>
            </w:r>
            <w:bookmarkEnd w:id="4"/>
            <w:proofErr w:type="spellStart"/>
            <w:r w:rsidRPr="00BE5E67">
              <w:rPr>
                <w:b/>
                <w:bCs/>
                <w:lang w:val="lv-LV"/>
              </w:rPr>
              <w:t>Baltic</w:t>
            </w:r>
            <w:proofErr w:type="spellEnd"/>
            <w:r w:rsidRPr="00BE5E67">
              <w:rPr>
                <w:b/>
                <w:bCs/>
                <w:lang w:val="lv-LV"/>
              </w:rPr>
              <w:t xml:space="preserve"> Insurance </w:t>
            </w:r>
            <w:proofErr w:type="spellStart"/>
            <w:r w:rsidRPr="00BE5E67">
              <w:rPr>
                <w:b/>
                <w:bCs/>
                <w:lang w:val="lv-LV"/>
              </w:rPr>
              <w:t>Company</w:t>
            </w:r>
            <w:proofErr w:type="spellEnd"/>
            <w:r w:rsidRPr="00BE5E67">
              <w:rPr>
                <w:b/>
                <w:bCs/>
                <w:lang w:val="lv-LV"/>
              </w:rPr>
              <w:t>”</w:t>
            </w:r>
            <w:r w:rsidRPr="00BE5E67">
              <w:rPr>
                <w:b/>
                <w:bCs/>
                <w:lang w:val="lv-LV"/>
              </w:rPr>
              <w:t xml:space="preserve"> AAS</w:t>
            </w:r>
            <w:bookmarkEnd w:id="5"/>
            <w:r w:rsidRPr="00BE5E67">
              <w:rPr>
                <w:b/>
                <w:bCs/>
                <w:lang w:val="lv-LV"/>
              </w:rPr>
              <w:t xml:space="preserve"> </w:t>
            </w:r>
            <w:r w:rsidRPr="006F561E">
              <w:rPr>
                <w:lang w:val="lv-LV"/>
              </w:rPr>
              <w:t xml:space="preserve">(turpmāk – BTA) </w:t>
            </w:r>
            <w:r w:rsidRPr="00BE5E67">
              <w:rPr>
                <w:b/>
                <w:bCs/>
                <w:lang w:val="lv-LV"/>
              </w:rPr>
              <w:t>iesniegtajā finanšu piedāvājumā ir aritmētiska kļūda.</w:t>
            </w: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172"/>
              <w:gridCol w:w="2978"/>
            </w:tblGrid>
            <w:tr w:rsidR="0099746E" w:rsidRPr="0099746E" w14:paraId="7537D79D" w14:textId="77777777" w:rsidTr="0099746E">
              <w:tc>
                <w:tcPr>
                  <w:tcW w:w="532" w:type="pct"/>
                  <w:shd w:val="pct5" w:color="auto" w:fill="auto"/>
                </w:tcPr>
                <w:p w14:paraId="4B3450AA" w14:textId="77777777" w:rsidR="0099746E" w:rsidRPr="00933B3F" w:rsidRDefault="0099746E" w:rsidP="0099746E">
                  <w:pPr>
                    <w:jc w:val="center"/>
                    <w:rPr>
                      <w:b/>
                      <w:bCs/>
                      <w:szCs w:val="26"/>
                      <w:lang w:val="lv-LV"/>
                    </w:rPr>
                  </w:pPr>
                  <w:proofErr w:type="spellStart"/>
                  <w:r w:rsidRPr="00933B3F">
                    <w:rPr>
                      <w:b/>
                      <w:bCs/>
                      <w:szCs w:val="26"/>
                      <w:lang w:val="lv-LV"/>
                    </w:rPr>
                    <w:t>N.p.k</w:t>
                  </w:r>
                  <w:proofErr w:type="spellEnd"/>
                  <w:r w:rsidRPr="00933B3F">
                    <w:rPr>
                      <w:b/>
                      <w:bCs/>
                      <w:szCs w:val="26"/>
                      <w:lang w:val="lv-LV"/>
                    </w:rPr>
                    <w:t>.</w:t>
                  </w:r>
                </w:p>
              </w:tc>
              <w:tc>
                <w:tcPr>
                  <w:tcW w:w="3014" w:type="pct"/>
                  <w:shd w:val="pct5" w:color="auto" w:fill="auto"/>
                </w:tcPr>
                <w:p w14:paraId="31076459" w14:textId="77777777" w:rsidR="0099746E" w:rsidRPr="00933B3F" w:rsidRDefault="0099746E" w:rsidP="0099746E">
                  <w:pPr>
                    <w:jc w:val="center"/>
                    <w:rPr>
                      <w:b/>
                      <w:bCs/>
                      <w:szCs w:val="26"/>
                      <w:lang w:val="lv-LV"/>
                    </w:rPr>
                  </w:pPr>
                  <w:r w:rsidRPr="00933B3F">
                    <w:rPr>
                      <w:b/>
                      <w:bCs/>
                      <w:szCs w:val="26"/>
                      <w:lang w:val="lv-LV"/>
                    </w:rPr>
                    <w:t>Pretendents</w:t>
                  </w:r>
                </w:p>
              </w:tc>
              <w:tc>
                <w:tcPr>
                  <w:tcW w:w="1454" w:type="pct"/>
                  <w:shd w:val="pct5" w:color="auto" w:fill="auto"/>
                </w:tcPr>
                <w:p w14:paraId="6410D7E8" w14:textId="62047957" w:rsidR="0099746E" w:rsidRPr="00933B3F" w:rsidRDefault="0099746E" w:rsidP="0099746E">
                  <w:pPr>
                    <w:jc w:val="center"/>
                    <w:rPr>
                      <w:b/>
                      <w:bCs/>
                      <w:szCs w:val="26"/>
                      <w:lang w:val="lv-LV"/>
                    </w:rPr>
                  </w:pPr>
                  <w:r w:rsidRPr="0099746E">
                    <w:rPr>
                      <w:b/>
                      <w:bCs/>
                      <w:szCs w:val="26"/>
                      <w:lang w:val="lv-LV"/>
                    </w:rPr>
                    <w:t>Līgumcena (</w:t>
                  </w:r>
                  <w:proofErr w:type="spellStart"/>
                  <w:r w:rsidRPr="0099746E">
                    <w:rPr>
                      <w:b/>
                      <w:bCs/>
                      <w:szCs w:val="26"/>
                      <w:lang w:val="lv-LV"/>
                    </w:rPr>
                    <w:t>apdrošinā-šanas</w:t>
                  </w:r>
                  <w:proofErr w:type="spellEnd"/>
                  <w:r w:rsidRPr="0099746E">
                    <w:rPr>
                      <w:b/>
                      <w:bCs/>
                      <w:szCs w:val="26"/>
                      <w:lang w:val="lv-LV"/>
                    </w:rPr>
                    <w:t xml:space="preserve"> prēmija) 48 mēnešu periodam EUR</w:t>
                  </w:r>
                </w:p>
              </w:tc>
            </w:tr>
            <w:tr w:rsidR="0099746E" w:rsidRPr="0099746E" w14:paraId="5515F3ED" w14:textId="77777777" w:rsidTr="0099746E">
              <w:tc>
                <w:tcPr>
                  <w:tcW w:w="532" w:type="pct"/>
                  <w:shd w:val="clear" w:color="auto" w:fill="auto"/>
                </w:tcPr>
                <w:p w14:paraId="7A57974B" w14:textId="77777777" w:rsidR="0099746E" w:rsidRPr="00933B3F" w:rsidRDefault="0099746E" w:rsidP="0099746E">
                  <w:pPr>
                    <w:jc w:val="both"/>
                    <w:rPr>
                      <w:bCs/>
                      <w:szCs w:val="26"/>
                      <w:lang w:val="lv-LV"/>
                    </w:rPr>
                  </w:pPr>
                  <w:r w:rsidRPr="00933B3F">
                    <w:rPr>
                      <w:bCs/>
                      <w:szCs w:val="26"/>
                      <w:lang w:val="lv-LV"/>
                    </w:rPr>
                    <w:t>1.</w:t>
                  </w:r>
                </w:p>
              </w:tc>
              <w:tc>
                <w:tcPr>
                  <w:tcW w:w="3014" w:type="pct"/>
                  <w:shd w:val="clear" w:color="auto" w:fill="auto"/>
                </w:tcPr>
                <w:p w14:paraId="6FC773AD" w14:textId="685B6243" w:rsidR="0099746E" w:rsidRPr="00933B3F" w:rsidRDefault="0099746E" w:rsidP="0099746E">
                  <w:pPr>
                    <w:rPr>
                      <w:b/>
                      <w:bCs/>
                      <w:szCs w:val="26"/>
                      <w:lang w:val="lv-LV"/>
                    </w:rPr>
                  </w:pPr>
                  <w:bookmarkStart w:id="6" w:name="_Hlk131430528"/>
                  <w:r w:rsidRPr="00933B3F">
                    <w:rPr>
                      <w:b/>
                      <w:bCs/>
                      <w:szCs w:val="26"/>
                      <w:lang w:val="lv-LV"/>
                    </w:rPr>
                    <w:t xml:space="preserve">"BTA </w:t>
                  </w:r>
                  <w:proofErr w:type="spellStart"/>
                  <w:r w:rsidRPr="00933B3F">
                    <w:rPr>
                      <w:b/>
                      <w:bCs/>
                      <w:szCs w:val="26"/>
                      <w:lang w:val="lv-LV"/>
                    </w:rPr>
                    <w:t>Baltic</w:t>
                  </w:r>
                  <w:proofErr w:type="spellEnd"/>
                  <w:r w:rsidRPr="00933B3F">
                    <w:rPr>
                      <w:b/>
                      <w:bCs/>
                      <w:szCs w:val="26"/>
                      <w:lang w:val="lv-LV"/>
                    </w:rPr>
                    <w:t xml:space="preserve"> Insurance </w:t>
                  </w:r>
                  <w:proofErr w:type="spellStart"/>
                  <w:r w:rsidRPr="00933B3F">
                    <w:rPr>
                      <w:b/>
                      <w:bCs/>
                      <w:szCs w:val="26"/>
                      <w:lang w:val="lv-LV"/>
                    </w:rPr>
                    <w:t>Company</w:t>
                  </w:r>
                  <w:proofErr w:type="spellEnd"/>
                  <w:r w:rsidRPr="00933B3F">
                    <w:rPr>
                      <w:b/>
                      <w:bCs/>
                      <w:szCs w:val="26"/>
                      <w:lang w:val="lv-LV"/>
                    </w:rPr>
                    <w:t>" AAS</w:t>
                  </w:r>
                  <w:bookmarkEnd w:id="6"/>
                </w:p>
              </w:tc>
              <w:tc>
                <w:tcPr>
                  <w:tcW w:w="1454" w:type="pct"/>
                  <w:shd w:val="clear" w:color="auto" w:fill="auto"/>
                </w:tcPr>
                <w:p w14:paraId="0C1E33B9" w14:textId="77777777" w:rsidR="0099746E" w:rsidRPr="00933B3F" w:rsidRDefault="0099746E" w:rsidP="0099746E">
                  <w:pPr>
                    <w:jc w:val="both"/>
                    <w:rPr>
                      <w:bCs/>
                      <w:strike/>
                      <w:lang w:val="lv-LV"/>
                    </w:rPr>
                  </w:pPr>
                  <w:r w:rsidRPr="00933B3F">
                    <w:rPr>
                      <w:bCs/>
                      <w:lang w:val="lv-LV"/>
                    </w:rPr>
                    <w:t xml:space="preserve">EUR </w:t>
                  </w:r>
                  <w:r w:rsidRPr="0099746E">
                    <w:rPr>
                      <w:bCs/>
                      <w:strike/>
                      <w:color w:val="FF0000"/>
                      <w:lang w:val="lv-LV"/>
                    </w:rPr>
                    <w:t xml:space="preserve">95 168.92 </w:t>
                  </w:r>
                </w:p>
                <w:p w14:paraId="7DB2F2B5" w14:textId="60AFF630" w:rsidR="0099746E" w:rsidRPr="00933B3F" w:rsidRDefault="0099746E" w:rsidP="0099746E">
                  <w:pPr>
                    <w:jc w:val="both"/>
                    <w:rPr>
                      <w:bCs/>
                      <w:szCs w:val="26"/>
                      <w:lang w:val="lv-LV"/>
                    </w:rPr>
                  </w:pPr>
                  <w:r>
                    <w:rPr>
                      <w:bCs/>
                      <w:lang w:val="lv-LV"/>
                    </w:rPr>
                    <w:t xml:space="preserve">EUR </w:t>
                  </w:r>
                  <w:r w:rsidRPr="00933B3F">
                    <w:rPr>
                      <w:bCs/>
                      <w:lang w:val="lv-LV"/>
                    </w:rPr>
                    <w:t>190 337.84</w:t>
                  </w:r>
                </w:p>
              </w:tc>
            </w:tr>
            <w:tr w:rsidR="0099746E" w:rsidRPr="0099746E" w14:paraId="2832108F" w14:textId="77777777" w:rsidTr="0099746E">
              <w:tc>
                <w:tcPr>
                  <w:tcW w:w="532" w:type="pct"/>
                  <w:shd w:val="clear" w:color="auto" w:fill="auto"/>
                </w:tcPr>
                <w:p w14:paraId="463BB3C6" w14:textId="77777777" w:rsidR="0099746E" w:rsidRPr="00933B3F" w:rsidRDefault="0099746E" w:rsidP="0099746E">
                  <w:pPr>
                    <w:jc w:val="both"/>
                    <w:rPr>
                      <w:bCs/>
                      <w:szCs w:val="26"/>
                      <w:lang w:val="lv-LV"/>
                    </w:rPr>
                  </w:pPr>
                  <w:r w:rsidRPr="00933B3F">
                    <w:rPr>
                      <w:bCs/>
                      <w:szCs w:val="26"/>
                      <w:lang w:val="lv-LV"/>
                    </w:rPr>
                    <w:t>2.</w:t>
                  </w:r>
                </w:p>
              </w:tc>
              <w:tc>
                <w:tcPr>
                  <w:tcW w:w="3014" w:type="pct"/>
                  <w:shd w:val="clear" w:color="auto" w:fill="auto"/>
                </w:tcPr>
                <w:p w14:paraId="0CF423AB" w14:textId="14D59D0D" w:rsidR="0099746E" w:rsidRPr="00933B3F" w:rsidRDefault="0099746E" w:rsidP="0099746E">
                  <w:pPr>
                    <w:rPr>
                      <w:b/>
                      <w:bCs/>
                      <w:szCs w:val="26"/>
                      <w:lang w:val="lv-LV"/>
                    </w:rPr>
                  </w:pPr>
                  <w:r w:rsidRPr="00933B3F">
                    <w:rPr>
                      <w:b/>
                      <w:bCs/>
                      <w:szCs w:val="26"/>
                      <w:lang w:val="lv-LV"/>
                    </w:rPr>
                    <w:t>"</w:t>
                  </w:r>
                  <w:proofErr w:type="spellStart"/>
                  <w:r w:rsidRPr="00933B3F">
                    <w:rPr>
                      <w:b/>
                      <w:bCs/>
                      <w:szCs w:val="26"/>
                      <w:lang w:val="lv-LV"/>
                    </w:rPr>
                    <w:t>Capital</w:t>
                  </w:r>
                  <w:proofErr w:type="spellEnd"/>
                  <w:r w:rsidRPr="00933B3F">
                    <w:rPr>
                      <w:b/>
                      <w:bCs/>
                      <w:szCs w:val="26"/>
                      <w:lang w:val="lv-LV"/>
                    </w:rPr>
                    <w:t>" AS</w:t>
                  </w:r>
                </w:p>
              </w:tc>
              <w:tc>
                <w:tcPr>
                  <w:tcW w:w="1454" w:type="pct"/>
                  <w:shd w:val="clear" w:color="auto" w:fill="auto"/>
                </w:tcPr>
                <w:p w14:paraId="2CCBF992" w14:textId="77777777" w:rsidR="0099746E" w:rsidRPr="00933B3F" w:rsidRDefault="0099746E" w:rsidP="0099746E">
                  <w:pPr>
                    <w:jc w:val="both"/>
                    <w:rPr>
                      <w:bCs/>
                      <w:szCs w:val="26"/>
                      <w:lang w:val="lv-LV"/>
                    </w:rPr>
                  </w:pPr>
                  <w:r w:rsidRPr="00933B3F">
                    <w:rPr>
                      <w:bCs/>
                      <w:szCs w:val="26"/>
                      <w:lang w:val="lv-LV"/>
                    </w:rPr>
                    <w:t>EUR 99 902.88</w:t>
                  </w:r>
                </w:p>
              </w:tc>
            </w:tr>
          </w:tbl>
          <w:p w14:paraId="017B5B3E" w14:textId="4CF1DEF9" w:rsidR="0099746E" w:rsidRPr="0099746E" w:rsidRDefault="0099746E" w:rsidP="0099746E">
            <w:pPr>
              <w:jc w:val="both"/>
              <w:rPr>
                <w:lang w:val="lv-LV"/>
              </w:rPr>
            </w:pPr>
            <w:r w:rsidRPr="0099746E">
              <w:rPr>
                <w:lang w:val="lv-LV"/>
              </w:rPr>
              <w:t xml:space="preserve">Ņemot vērā, ka Komisija konstatēja pretendenta “BTA </w:t>
            </w:r>
            <w:proofErr w:type="spellStart"/>
            <w:r w:rsidRPr="0099746E">
              <w:rPr>
                <w:lang w:val="lv-LV"/>
              </w:rPr>
              <w:t>Baltic</w:t>
            </w:r>
            <w:proofErr w:type="spellEnd"/>
            <w:r w:rsidRPr="0099746E">
              <w:rPr>
                <w:lang w:val="lv-LV"/>
              </w:rPr>
              <w:t xml:space="preserve"> Insurance </w:t>
            </w:r>
            <w:proofErr w:type="spellStart"/>
            <w:r w:rsidRPr="0099746E">
              <w:rPr>
                <w:lang w:val="lv-LV"/>
              </w:rPr>
              <w:t>Company</w:t>
            </w:r>
            <w:proofErr w:type="spellEnd"/>
            <w:r w:rsidRPr="0099746E">
              <w:rPr>
                <w:lang w:val="lv-LV"/>
              </w:rPr>
              <w:t>” AAS iesniegtajā Iepirkuma nolikuma 3. pielikuma “Finanšu piedāvājums” kolonnā “Līgumcena (apdrošināšanas prēmija) 48 mēnešu periodam EUR” aritmētisku kļūdu, Komisija precizēja pretendenta finanšu piedāvājumu atbilstoši pretendenta iesniegtajam skaidrojumam.</w:t>
            </w:r>
          </w:p>
          <w:p w14:paraId="0938CA5B" w14:textId="1A86A2B1" w:rsidR="007205CF" w:rsidRPr="00EA7450" w:rsidRDefault="0099746E" w:rsidP="00B270C9">
            <w:pPr>
              <w:tabs>
                <w:tab w:val="left" w:pos="851"/>
              </w:tabs>
              <w:contextualSpacing/>
              <w:jc w:val="both"/>
              <w:rPr>
                <w:color w:val="FF0000"/>
                <w:lang w:val="lv-LV"/>
              </w:rPr>
            </w:pPr>
            <w:r w:rsidRPr="0099746E">
              <w:rPr>
                <w:bCs/>
                <w:lang w:val="lv-LV"/>
              </w:rPr>
              <w:t>Komisija secināja, ka BTA norādītā līgumcena (pēc aritmētiskās kļūdas labošanas) neatbilst Nolikuma 3.3.</w:t>
            </w:r>
            <w:r w:rsidRPr="0099746E">
              <w:rPr>
                <w:bCs/>
                <w:lang w:val="lv-LV"/>
              </w:rPr>
              <w:t> </w:t>
            </w:r>
            <w:r w:rsidRPr="0099746E">
              <w:rPr>
                <w:bCs/>
                <w:lang w:val="lv-LV"/>
              </w:rPr>
              <w:t>apakšpunktā norādītajai līgumcenai 102 842,00 EUR. Pēc aritmētiskās kļūdas labošanas BTA līgumcena 48 mēnešiem - 190 337,84 EUR, kas ir 185,08% no Pasūtītāja norādītās līgumcenas 102 842,00 EUR.</w:t>
            </w:r>
          </w:p>
        </w:tc>
      </w:tr>
      <w:tr w:rsidR="00841889" w:rsidRPr="00EA7450" w14:paraId="0F89EB0A" w14:textId="77777777" w:rsidTr="00372D60">
        <w:tc>
          <w:tcPr>
            <w:tcW w:w="3510" w:type="dxa"/>
          </w:tcPr>
          <w:p w14:paraId="3BF5DF8A" w14:textId="77777777" w:rsidR="00F30B2D" w:rsidRPr="00F37136" w:rsidRDefault="00F30B2D" w:rsidP="00233F11">
            <w:pPr>
              <w:spacing w:before="60" w:after="60"/>
              <w:jc w:val="both"/>
              <w:rPr>
                <w:lang w:val="lv-LV"/>
              </w:rPr>
            </w:pPr>
            <w:r w:rsidRPr="00F37136">
              <w:rPr>
                <w:lang w:val="lv-LV"/>
              </w:rPr>
              <w:t>Tā pretendenta nosaukums, kuram piešķirtas iepirkuma līguma slēgšanas tiesības, piedāvātā līgumcena, kā arī piedāvājuma</w:t>
            </w:r>
            <w:r w:rsidR="002018B4" w:rsidRPr="00F37136">
              <w:rPr>
                <w:lang w:val="lv-LV"/>
              </w:rPr>
              <w:t> </w:t>
            </w:r>
            <w:r w:rsidRPr="00F37136">
              <w:rPr>
                <w:lang w:val="lv-LV"/>
              </w:rPr>
              <w:t>izvēles pamatojums</w:t>
            </w:r>
            <w:r w:rsidR="002018B4" w:rsidRPr="00F37136">
              <w:rPr>
                <w:lang w:val="lv-LV"/>
              </w:rPr>
              <w:t>.</w:t>
            </w:r>
          </w:p>
        </w:tc>
        <w:tc>
          <w:tcPr>
            <w:tcW w:w="10773" w:type="dxa"/>
          </w:tcPr>
          <w:p w14:paraId="7EB56252" w14:textId="3924E405" w:rsidR="00B04336" w:rsidRPr="00B270C9" w:rsidRDefault="00B270C9" w:rsidP="00372D60">
            <w:pPr>
              <w:ind w:right="458"/>
              <w:jc w:val="both"/>
              <w:rPr>
                <w:b/>
                <w:bCs/>
                <w:lang w:val="lv-LV"/>
              </w:rPr>
            </w:pPr>
            <w:r w:rsidRPr="00B270C9">
              <w:rPr>
                <w:lang w:val="lv-LV"/>
              </w:rPr>
              <w:t>Nav attiecināms.</w:t>
            </w:r>
          </w:p>
        </w:tc>
      </w:tr>
      <w:tr w:rsidR="00841889" w:rsidRPr="00F37136" w14:paraId="54A2FC83" w14:textId="77777777" w:rsidTr="00372D60">
        <w:tc>
          <w:tcPr>
            <w:tcW w:w="3510" w:type="dxa"/>
          </w:tcPr>
          <w:p w14:paraId="390A8CDD" w14:textId="77777777" w:rsidR="00702549" w:rsidRPr="00F37136" w:rsidRDefault="00702549" w:rsidP="00233F11">
            <w:pPr>
              <w:spacing w:before="60" w:after="60"/>
              <w:jc w:val="both"/>
              <w:rPr>
                <w:lang w:val="lv-LV"/>
              </w:rPr>
            </w:pPr>
            <w:r w:rsidRPr="00F37136">
              <w:rPr>
                <w:lang w:val="lv-LV"/>
              </w:rPr>
              <w:t>Informācija (ja tā ir zināma) par to iepirkuma līguma daļu, kuru izraudzītais pretendents plānojis nodot apakšuzņēmējiem, kā arī apakšuzņēmēju nosaukumi</w:t>
            </w:r>
          </w:p>
        </w:tc>
        <w:tc>
          <w:tcPr>
            <w:tcW w:w="10773" w:type="dxa"/>
          </w:tcPr>
          <w:p w14:paraId="64CAD6E5" w14:textId="77777777" w:rsidR="00702549" w:rsidRPr="00B270C9" w:rsidRDefault="00482B80" w:rsidP="00233F11">
            <w:pPr>
              <w:spacing w:before="60" w:after="60"/>
              <w:jc w:val="both"/>
              <w:rPr>
                <w:lang w:val="lv-LV"/>
              </w:rPr>
            </w:pPr>
            <w:r w:rsidRPr="00B270C9">
              <w:rPr>
                <w:lang w:val="lv-LV"/>
              </w:rPr>
              <w:t>Nav attiecināms.</w:t>
            </w:r>
          </w:p>
        </w:tc>
      </w:tr>
      <w:tr w:rsidR="00841889" w:rsidRPr="00B270C9" w14:paraId="0E837D7B" w14:textId="77777777" w:rsidTr="00372D60">
        <w:tc>
          <w:tcPr>
            <w:tcW w:w="3510" w:type="dxa"/>
          </w:tcPr>
          <w:p w14:paraId="0BBE07F5" w14:textId="77777777" w:rsidR="00702549" w:rsidRPr="00F37136" w:rsidRDefault="000B3F5F" w:rsidP="00233F11">
            <w:pPr>
              <w:spacing w:before="60" w:after="60"/>
              <w:jc w:val="both"/>
              <w:rPr>
                <w:lang w:val="lv-LV"/>
              </w:rPr>
            </w:pPr>
            <w:r w:rsidRPr="00F37136">
              <w:rPr>
                <w:lang w:val="lv-LV"/>
              </w:rPr>
              <w:t>Pamatojums lēmumam par katru noraidīto pretendentu, kā arī par katru iepirkuma procedūras dokumentiem neatbilstošu piedāvājumu</w:t>
            </w:r>
          </w:p>
        </w:tc>
        <w:tc>
          <w:tcPr>
            <w:tcW w:w="10773" w:type="dxa"/>
          </w:tcPr>
          <w:p w14:paraId="13080CA8" w14:textId="77777777" w:rsidR="00B270C9" w:rsidRPr="00B270C9" w:rsidRDefault="00B270C9" w:rsidP="00B270C9">
            <w:pPr>
              <w:tabs>
                <w:tab w:val="left" w:pos="851"/>
              </w:tabs>
              <w:contextualSpacing/>
              <w:jc w:val="both"/>
              <w:rPr>
                <w:bCs/>
                <w:lang w:val="lv-LV"/>
              </w:rPr>
            </w:pPr>
            <w:r w:rsidRPr="00B270C9">
              <w:rPr>
                <w:bCs/>
                <w:lang w:val="lv-LV"/>
              </w:rPr>
              <w:t xml:space="preserve">Komisija 03.04.2023. sēdē (protokols Nr. 2) pieņēma lēmumu: </w:t>
            </w:r>
          </w:p>
          <w:p w14:paraId="36DA4367" w14:textId="6C180C01" w:rsidR="00B270C9" w:rsidRPr="00B270C9" w:rsidRDefault="00B270C9" w:rsidP="00B270C9">
            <w:pPr>
              <w:tabs>
                <w:tab w:val="left" w:pos="851"/>
              </w:tabs>
              <w:contextualSpacing/>
              <w:jc w:val="both"/>
              <w:rPr>
                <w:bCs/>
                <w:lang w:val="lv-LV"/>
              </w:rPr>
            </w:pPr>
            <w:r w:rsidRPr="00B270C9">
              <w:rPr>
                <w:bCs/>
                <w:lang w:val="lv-LV"/>
              </w:rPr>
              <w:t xml:space="preserve">1. Noraidīt pretendentu “BTA </w:t>
            </w:r>
            <w:proofErr w:type="spellStart"/>
            <w:r w:rsidRPr="00B270C9">
              <w:rPr>
                <w:bCs/>
                <w:lang w:val="lv-LV"/>
              </w:rPr>
              <w:t>Baltic</w:t>
            </w:r>
            <w:proofErr w:type="spellEnd"/>
            <w:r w:rsidRPr="00B270C9">
              <w:rPr>
                <w:bCs/>
                <w:lang w:val="lv-LV"/>
              </w:rPr>
              <w:t xml:space="preserve"> Insurance </w:t>
            </w:r>
            <w:proofErr w:type="spellStart"/>
            <w:r w:rsidRPr="00B270C9">
              <w:rPr>
                <w:bCs/>
                <w:lang w:val="lv-LV"/>
              </w:rPr>
              <w:t>Company</w:t>
            </w:r>
            <w:proofErr w:type="spellEnd"/>
            <w:r w:rsidRPr="00B270C9">
              <w:rPr>
                <w:bCs/>
                <w:lang w:val="lv-LV"/>
              </w:rPr>
              <w:t>" AAS, pamatojoties uz 41.panta vienpadsmito daļu un Ministru kabineta 28.02.2017. noteikumu Nr. 107 “Iepirkuma procedūru un metu konkursu norises kārtība” 229.4. apakšpunktu;</w:t>
            </w:r>
          </w:p>
          <w:p w14:paraId="1443F7BB" w14:textId="6E588CFF" w:rsidR="00702549" w:rsidRPr="00EA7450" w:rsidRDefault="00B270C9" w:rsidP="00B270C9">
            <w:pPr>
              <w:spacing w:before="60" w:after="60"/>
              <w:jc w:val="both"/>
              <w:rPr>
                <w:color w:val="FF0000"/>
                <w:lang w:val="lv-LV"/>
              </w:rPr>
            </w:pPr>
            <w:r w:rsidRPr="00B270C9">
              <w:rPr>
                <w:bCs/>
                <w:lang w:val="lv-LV"/>
              </w:rPr>
              <w:t xml:space="preserve">2. Noraidīt pretendentu AS “CAPITAL”, saskaņā ar PIL 44.pantu un Ministru kabineta 28.02.2017. noteikumu Nr. 107 “Iepirkuma procedūru un metu konkursu norises kārtība” 229.2. apakšpunktu, jo pretendents neatbilst Nolikuma 7.2.2.apakšpunktā noteiktajām kvalifikācijas prasībām. </w:t>
            </w:r>
          </w:p>
        </w:tc>
      </w:tr>
      <w:tr w:rsidR="00841889" w:rsidRPr="00F37136" w14:paraId="3F4D7230" w14:textId="77777777" w:rsidTr="00372D60">
        <w:tc>
          <w:tcPr>
            <w:tcW w:w="3510" w:type="dxa"/>
          </w:tcPr>
          <w:p w14:paraId="6571822A" w14:textId="77777777" w:rsidR="000B3F5F" w:rsidRPr="00F37136" w:rsidRDefault="000B3F5F" w:rsidP="00233F11">
            <w:pPr>
              <w:spacing w:before="60" w:after="60"/>
              <w:jc w:val="both"/>
              <w:rPr>
                <w:lang w:val="lv-LV"/>
              </w:rPr>
            </w:pPr>
            <w:r w:rsidRPr="00F37136">
              <w:rPr>
                <w:lang w:val="lv-LV"/>
              </w:rPr>
              <w:lastRenderedPageBreak/>
              <w:t>Ja piedāvājumu iesniedzis tikai viens piegādātājs, – pamatojums iepirkuma procedūras nepārtraukšanai saskaņā ar MK noteikumu Nr. 107 19. punktu</w:t>
            </w:r>
          </w:p>
        </w:tc>
        <w:tc>
          <w:tcPr>
            <w:tcW w:w="10773" w:type="dxa"/>
          </w:tcPr>
          <w:p w14:paraId="4E9B8516" w14:textId="6DEBCE74" w:rsidR="001B44B6" w:rsidRPr="00B270C9" w:rsidRDefault="003316A2" w:rsidP="00233F11">
            <w:pPr>
              <w:spacing w:before="60" w:after="60"/>
              <w:jc w:val="both"/>
              <w:rPr>
                <w:lang w:val="lv-LV"/>
              </w:rPr>
            </w:pPr>
            <w:r w:rsidRPr="00B270C9">
              <w:rPr>
                <w:lang w:val="lv-LV"/>
              </w:rPr>
              <w:t>Nav attiecināms</w:t>
            </w:r>
          </w:p>
        </w:tc>
      </w:tr>
      <w:tr w:rsidR="00841889" w:rsidRPr="00B270C9" w14:paraId="389A8931" w14:textId="77777777" w:rsidTr="00372D60">
        <w:tc>
          <w:tcPr>
            <w:tcW w:w="3510" w:type="dxa"/>
          </w:tcPr>
          <w:p w14:paraId="19226312" w14:textId="77777777" w:rsidR="000B3F5F" w:rsidRPr="00F37136" w:rsidRDefault="000B3F5F" w:rsidP="00233F11">
            <w:pPr>
              <w:spacing w:before="60" w:after="60"/>
              <w:jc w:val="both"/>
              <w:rPr>
                <w:lang w:val="lv-LV"/>
              </w:rPr>
            </w:pPr>
            <w:r w:rsidRPr="00F37136">
              <w:rPr>
                <w:lang w:val="lv-LV"/>
              </w:rPr>
              <w:t>Lēmuma pamatojums, ja iepirkuma komisija pieņēmusi lēmumu pārtraukt vai izbeigt iepirkuma procedūru</w:t>
            </w:r>
          </w:p>
        </w:tc>
        <w:tc>
          <w:tcPr>
            <w:tcW w:w="10773" w:type="dxa"/>
          </w:tcPr>
          <w:p w14:paraId="41AC07DC" w14:textId="77777777" w:rsidR="00B270C9" w:rsidRPr="00B270C9" w:rsidRDefault="00B270C9" w:rsidP="00B270C9">
            <w:pPr>
              <w:spacing w:before="60" w:after="60"/>
              <w:jc w:val="both"/>
              <w:rPr>
                <w:szCs w:val="26"/>
                <w:lang w:val="lv-LV"/>
              </w:rPr>
            </w:pPr>
            <w:r w:rsidRPr="00B270C9">
              <w:rPr>
                <w:szCs w:val="26"/>
                <w:lang w:val="lv-LV"/>
              </w:rPr>
              <w:t xml:space="preserve">Komisija 03.04.2023. sēdē (protokols Nr. 2) pieņēma lēmumu: </w:t>
            </w:r>
          </w:p>
          <w:p w14:paraId="110EC227" w14:textId="6CF132C2" w:rsidR="00B270C9" w:rsidRPr="00B270C9" w:rsidRDefault="00B270C9" w:rsidP="00B270C9">
            <w:pPr>
              <w:spacing w:before="60" w:after="60"/>
              <w:jc w:val="both"/>
              <w:rPr>
                <w:szCs w:val="26"/>
                <w:lang w:val="lv-LV"/>
              </w:rPr>
            </w:pPr>
            <w:r w:rsidRPr="00B270C9">
              <w:rPr>
                <w:szCs w:val="26"/>
                <w:lang w:val="lv-LV"/>
              </w:rPr>
              <w:t>Izbeigt iepirkuma procedūru, pamatojoties uz Ministru kabineta 28.02.2017. noteikumu Nr. 107 “Iepirkuma procedūru un metu konkursu norises kārtība” 229.2. un 229.4. apakšpunktu, jo Iepirkumā tika iesniegti iepirkuma procedūras dokumentos noteiktajām prasībām neatbilstoši piedāvājumi.</w:t>
            </w:r>
          </w:p>
          <w:p w14:paraId="573F75E4" w14:textId="6B694C96" w:rsidR="000B3F5F" w:rsidRPr="00B270C9" w:rsidRDefault="000B3F5F" w:rsidP="00233F11">
            <w:pPr>
              <w:spacing w:before="60" w:after="60"/>
              <w:jc w:val="both"/>
              <w:rPr>
                <w:lang w:val="lv-LV"/>
              </w:rPr>
            </w:pPr>
          </w:p>
        </w:tc>
      </w:tr>
      <w:tr w:rsidR="00841889" w:rsidRPr="00F37136" w14:paraId="74932978" w14:textId="77777777" w:rsidTr="00372D60">
        <w:tc>
          <w:tcPr>
            <w:tcW w:w="3510" w:type="dxa"/>
          </w:tcPr>
          <w:p w14:paraId="1B8DDCB8" w14:textId="77777777" w:rsidR="000B3F5F" w:rsidRPr="00F37136" w:rsidRDefault="000B3F5F" w:rsidP="00233F11">
            <w:pPr>
              <w:spacing w:before="60" w:after="60"/>
              <w:jc w:val="both"/>
              <w:rPr>
                <w:lang w:val="lv-LV"/>
              </w:rPr>
            </w:pPr>
            <w:r w:rsidRPr="00F37136">
              <w:rPr>
                <w:lang w:val="lv-LV"/>
              </w:rPr>
              <w:t>Piedāvājuma noraidīšanas pamatojums, ja iepirkuma komisija atzinusi piedāvājumu par nepamatoti lētu</w:t>
            </w:r>
          </w:p>
        </w:tc>
        <w:tc>
          <w:tcPr>
            <w:tcW w:w="10773" w:type="dxa"/>
          </w:tcPr>
          <w:p w14:paraId="2C593000" w14:textId="77777777" w:rsidR="000B3F5F" w:rsidRPr="00B270C9" w:rsidRDefault="000B3F5F" w:rsidP="00233F11">
            <w:pPr>
              <w:spacing w:before="60" w:after="60"/>
              <w:jc w:val="both"/>
              <w:rPr>
                <w:lang w:val="lv-LV"/>
              </w:rPr>
            </w:pPr>
            <w:r w:rsidRPr="00B270C9">
              <w:rPr>
                <w:lang w:val="lv-LV"/>
              </w:rPr>
              <w:t>Nav attiecināms.</w:t>
            </w:r>
          </w:p>
        </w:tc>
      </w:tr>
      <w:tr w:rsidR="00841889" w:rsidRPr="00F37136" w14:paraId="0E310CF3" w14:textId="77777777" w:rsidTr="00372D60">
        <w:tc>
          <w:tcPr>
            <w:tcW w:w="3510" w:type="dxa"/>
          </w:tcPr>
          <w:p w14:paraId="4CAAC6A5" w14:textId="77777777" w:rsidR="000B3F5F" w:rsidRPr="00F37136" w:rsidRDefault="000B3F5F" w:rsidP="00233F11">
            <w:pPr>
              <w:spacing w:before="60" w:after="60"/>
              <w:jc w:val="both"/>
              <w:rPr>
                <w:lang w:val="lv-LV"/>
              </w:rPr>
            </w:pPr>
            <w:r w:rsidRPr="00F37136">
              <w:rPr>
                <w:lang w:val="lv-LV"/>
              </w:rPr>
              <w:t>Iemesli, kuru dēļ netiek paredzēta elektroniska piedāvājumu iesniegšana, ja pasūtītājam ir pienākums izmantot piedāvājumu saņemšanai elektroniskās informācijas sistēmas</w:t>
            </w:r>
          </w:p>
        </w:tc>
        <w:tc>
          <w:tcPr>
            <w:tcW w:w="10773" w:type="dxa"/>
          </w:tcPr>
          <w:p w14:paraId="4E939111" w14:textId="77777777" w:rsidR="000B3F5F" w:rsidRPr="00B270C9" w:rsidRDefault="000B3F5F" w:rsidP="00233F11">
            <w:pPr>
              <w:spacing w:before="60" w:after="60"/>
              <w:jc w:val="both"/>
              <w:rPr>
                <w:lang w:val="lv-LV"/>
              </w:rPr>
            </w:pPr>
            <w:r w:rsidRPr="00B270C9">
              <w:rPr>
                <w:lang w:val="lv-LV"/>
              </w:rPr>
              <w:t>Nav attiecināms.</w:t>
            </w:r>
          </w:p>
        </w:tc>
      </w:tr>
      <w:tr w:rsidR="00841889" w:rsidRPr="00EA7450" w14:paraId="1EA74C14" w14:textId="77777777" w:rsidTr="00372D60">
        <w:tc>
          <w:tcPr>
            <w:tcW w:w="3510" w:type="dxa"/>
          </w:tcPr>
          <w:p w14:paraId="0ACA7C9B" w14:textId="77777777" w:rsidR="000B3F5F" w:rsidRPr="00F37136" w:rsidRDefault="000B3F5F" w:rsidP="00233F11">
            <w:pPr>
              <w:spacing w:before="60" w:after="60"/>
              <w:jc w:val="both"/>
              <w:rPr>
                <w:lang w:val="lv-LV"/>
              </w:rPr>
            </w:pPr>
            <w:r w:rsidRPr="00F37136">
              <w:rPr>
                <w:lang w:val="lv-LV"/>
              </w:rPr>
              <w:t>Konstatētie interešu konflikti un pasākumi, kas veikti to novēršanai</w:t>
            </w:r>
          </w:p>
        </w:tc>
        <w:tc>
          <w:tcPr>
            <w:tcW w:w="10773" w:type="dxa"/>
          </w:tcPr>
          <w:p w14:paraId="151AEDE0" w14:textId="77777777" w:rsidR="000B3F5F" w:rsidRPr="00B270C9" w:rsidRDefault="000B3F5F" w:rsidP="00233F11">
            <w:pPr>
              <w:pStyle w:val="tv213"/>
              <w:spacing w:before="60" w:beforeAutospacing="0" w:after="60" w:afterAutospacing="0"/>
              <w:jc w:val="both"/>
            </w:pPr>
            <w:r w:rsidRPr="00B270C9">
              <w:t>Nav konstatēti.</w:t>
            </w:r>
          </w:p>
          <w:p w14:paraId="45245A41" w14:textId="77777777" w:rsidR="000B3F5F" w:rsidRPr="00B270C9" w:rsidRDefault="000B3F5F" w:rsidP="00233F11">
            <w:pPr>
              <w:pStyle w:val="tv213"/>
              <w:spacing w:before="60" w:beforeAutospacing="0" w:after="60" w:afterAutospacing="0"/>
              <w:jc w:val="both"/>
            </w:pPr>
            <w:r w:rsidRPr="00B270C9">
              <w:t>Veiktas Publisko iepirkumu likuma III nodaļā paredzētās procedūras.</w:t>
            </w:r>
          </w:p>
        </w:tc>
      </w:tr>
    </w:tbl>
    <w:p w14:paraId="131E544A" w14:textId="4DE77A00" w:rsidR="007D4EAB" w:rsidRDefault="007D4EAB" w:rsidP="00233F11">
      <w:pPr>
        <w:jc w:val="both"/>
        <w:rPr>
          <w:lang w:val="lv-LV"/>
        </w:rPr>
      </w:pPr>
    </w:p>
    <w:p w14:paraId="44402326" w14:textId="77777777" w:rsidR="00F50062" w:rsidRPr="00F37136" w:rsidRDefault="00F50062" w:rsidP="00233F11">
      <w:pPr>
        <w:jc w:val="both"/>
        <w:rPr>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A20F49" w:rsidRPr="00B270C9" w14:paraId="25F26451" w14:textId="77777777" w:rsidTr="00233F11">
        <w:tc>
          <w:tcPr>
            <w:tcW w:w="4856" w:type="dxa"/>
          </w:tcPr>
          <w:p w14:paraId="0D945721" w14:textId="155EE93D" w:rsidR="00A20F49" w:rsidRPr="00B270C9" w:rsidRDefault="00A20F49" w:rsidP="00A20F49">
            <w:pPr>
              <w:jc w:val="both"/>
              <w:rPr>
                <w:rFonts w:eastAsia="Calibri"/>
                <w:lang w:val="lv-LV"/>
              </w:rPr>
            </w:pPr>
            <w:r w:rsidRPr="00B270C9">
              <w:rPr>
                <w:lang w:val="lv-LV"/>
              </w:rPr>
              <w:t>Iepirkuma komisijas priekšsēdētāja</w:t>
            </w:r>
          </w:p>
        </w:tc>
        <w:tc>
          <w:tcPr>
            <w:tcW w:w="4856" w:type="dxa"/>
          </w:tcPr>
          <w:p w14:paraId="0EDF41F7" w14:textId="6DA65959" w:rsidR="00A20F49" w:rsidRPr="00B270C9" w:rsidRDefault="00B270C9" w:rsidP="00A20F49">
            <w:pPr>
              <w:jc w:val="right"/>
              <w:rPr>
                <w:rFonts w:eastAsia="Calibri"/>
                <w:lang w:val="lv-LV"/>
              </w:rPr>
            </w:pPr>
            <w:proofErr w:type="spellStart"/>
            <w:r w:rsidRPr="00B270C9">
              <w:rPr>
                <w:lang w:val="lv-LV"/>
              </w:rPr>
              <w:t>I.Liepa</w:t>
            </w:r>
            <w:proofErr w:type="spellEnd"/>
          </w:p>
        </w:tc>
      </w:tr>
      <w:tr w:rsidR="00841889" w:rsidRPr="00F37136" w14:paraId="73731DF5" w14:textId="77777777" w:rsidTr="00233F11">
        <w:tc>
          <w:tcPr>
            <w:tcW w:w="4856" w:type="dxa"/>
          </w:tcPr>
          <w:p w14:paraId="5EFF4B1E" w14:textId="77777777" w:rsidR="00233F11" w:rsidRPr="00B270C9" w:rsidRDefault="00233F11" w:rsidP="00233F11">
            <w:pPr>
              <w:rPr>
                <w:lang w:val="lv-LV"/>
              </w:rPr>
            </w:pPr>
          </w:p>
          <w:p w14:paraId="02F1B9FC" w14:textId="77777777" w:rsidR="00693961" w:rsidRPr="00B270C9" w:rsidRDefault="00693961" w:rsidP="00233F11">
            <w:pPr>
              <w:rPr>
                <w:lang w:val="lv-LV"/>
              </w:rPr>
            </w:pPr>
          </w:p>
          <w:p w14:paraId="0E78A43C" w14:textId="54BE105D" w:rsidR="00233F11" w:rsidRPr="00F37136" w:rsidRDefault="00B270C9" w:rsidP="00233F11">
            <w:pPr>
              <w:rPr>
                <w:lang w:val="lv-LV"/>
              </w:rPr>
            </w:pPr>
            <w:r w:rsidRPr="00B270C9">
              <w:rPr>
                <w:lang w:val="lv-LV"/>
              </w:rPr>
              <w:t>Forande 67037956</w:t>
            </w:r>
          </w:p>
        </w:tc>
        <w:tc>
          <w:tcPr>
            <w:tcW w:w="4856" w:type="dxa"/>
          </w:tcPr>
          <w:p w14:paraId="4541414E" w14:textId="77777777" w:rsidR="00233F11" w:rsidRPr="00F37136" w:rsidRDefault="00233F11" w:rsidP="00233F11">
            <w:pPr>
              <w:jc w:val="both"/>
              <w:rPr>
                <w:rFonts w:eastAsia="Calibri"/>
                <w:lang w:val="lv-LV"/>
              </w:rPr>
            </w:pPr>
          </w:p>
        </w:tc>
      </w:tr>
    </w:tbl>
    <w:p w14:paraId="22512AEE" w14:textId="77777777" w:rsidR="00A56E70" w:rsidRPr="00F37136" w:rsidRDefault="00A56E70" w:rsidP="007D0B34">
      <w:pPr>
        <w:jc w:val="both"/>
        <w:rPr>
          <w:lang w:val="lv-LV"/>
        </w:rPr>
      </w:pPr>
    </w:p>
    <w:sectPr w:rsidR="00A56E70" w:rsidRPr="00F37136" w:rsidSect="00611372">
      <w:pgSz w:w="16838" w:h="11906" w:orient="landscape"/>
      <w:pgMar w:top="1276"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E07F" w14:textId="77777777" w:rsidR="00661355" w:rsidRDefault="00661355" w:rsidP="00EC652B">
      <w:r>
        <w:separator/>
      </w:r>
    </w:p>
  </w:endnote>
  <w:endnote w:type="continuationSeparator" w:id="0">
    <w:p w14:paraId="6BDC46F8" w14:textId="77777777" w:rsidR="00661355" w:rsidRDefault="00661355"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AE4F" w14:textId="77777777" w:rsidR="00661355" w:rsidRDefault="00661355" w:rsidP="00EC652B">
      <w:r>
        <w:separator/>
      </w:r>
    </w:p>
  </w:footnote>
  <w:footnote w:type="continuationSeparator" w:id="0">
    <w:p w14:paraId="3CE629BD" w14:textId="77777777" w:rsidR="00661355" w:rsidRDefault="00661355"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08576344">
    <w:abstractNumId w:val="6"/>
  </w:num>
  <w:num w:numId="2" w16cid:durableId="1481847968">
    <w:abstractNumId w:val="0"/>
  </w:num>
  <w:num w:numId="3" w16cid:durableId="141581302">
    <w:abstractNumId w:val="1"/>
  </w:num>
  <w:num w:numId="4" w16cid:durableId="707531745">
    <w:abstractNumId w:val="9"/>
  </w:num>
  <w:num w:numId="5" w16cid:durableId="932518345">
    <w:abstractNumId w:val="4"/>
  </w:num>
  <w:num w:numId="6" w16cid:durableId="1723485241">
    <w:abstractNumId w:val="2"/>
  </w:num>
  <w:num w:numId="7" w16cid:durableId="1678802624">
    <w:abstractNumId w:val="7"/>
  </w:num>
  <w:num w:numId="8" w16cid:durableId="1542206207">
    <w:abstractNumId w:val="8"/>
  </w:num>
  <w:num w:numId="9" w16cid:durableId="2076124379">
    <w:abstractNumId w:val="5"/>
  </w:num>
  <w:num w:numId="10" w16cid:durableId="169453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43246"/>
    <w:rsid w:val="00044BF4"/>
    <w:rsid w:val="0005645E"/>
    <w:rsid w:val="00070752"/>
    <w:rsid w:val="0007139A"/>
    <w:rsid w:val="000B3F5F"/>
    <w:rsid w:val="000E6B3B"/>
    <w:rsid w:val="000E7593"/>
    <w:rsid w:val="0010164F"/>
    <w:rsid w:val="00107EBC"/>
    <w:rsid w:val="00112C89"/>
    <w:rsid w:val="00113605"/>
    <w:rsid w:val="00116BA7"/>
    <w:rsid w:val="001659C7"/>
    <w:rsid w:val="00172272"/>
    <w:rsid w:val="001B44B6"/>
    <w:rsid w:val="001C25CB"/>
    <w:rsid w:val="001D67A1"/>
    <w:rsid w:val="001F0B23"/>
    <w:rsid w:val="002018B4"/>
    <w:rsid w:val="00221DAF"/>
    <w:rsid w:val="00222478"/>
    <w:rsid w:val="00233F11"/>
    <w:rsid w:val="00266ECF"/>
    <w:rsid w:val="00296843"/>
    <w:rsid w:val="003316A2"/>
    <w:rsid w:val="00333586"/>
    <w:rsid w:val="00356CD5"/>
    <w:rsid w:val="00372D60"/>
    <w:rsid w:val="00400792"/>
    <w:rsid w:val="00411C7C"/>
    <w:rsid w:val="004150FC"/>
    <w:rsid w:val="00435C1C"/>
    <w:rsid w:val="00480BB1"/>
    <w:rsid w:val="00482B80"/>
    <w:rsid w:val="00483103"/>
    <w:rsid w:val="004A784E"/>
    <w:rsid w:val="00504EEF"/>
    <w:rsid w:val="00530B39"/>
    <w:rsid w:val="00537537"/>
    <w:rsid w:val="0054319F"/>
    <w:rsid w:val="00565F22"/>
    <w:rsid w:val="005C34A9"/>
    <w:rsid w:val="005F3FBE"/>
    <w:rsid w:val="00601334"/>
    <w:rsid w:val="00611372"/>
    <w:rsid w:val="00632A4C"/>
    <w:rsid w:val="00632ABB"/>
    <w:rsid w:val="006412B9"/>
    <w:rsid w:val="00651B41"/>
    <w:rsid w:val="00661355"/>
    <w:rsid w:val="006932A6"/>
    <w:rsid w:val="00693961"/>
    <w:rsid w:val="006B481B"/>
    <w:rsid w:val="006B4ADC"/>
    <w:rsid w:val="006D59BA"/>
    <w:rsid w:val="006F3A84"/>
    <w:rsid w:val="00702549"/>
    <w:rsid w:val="0071585F"/>
    <w:rsid w:val="007205CF"/>
    <w:rsid w:val="0072271C"/>
    <w:rsid w:val="00755109"/>
    <w:rsid w:val="00790877"/>
    <w:rsid w:val="007D0B34"/>
    <w:rsid w:val="007D4EAB"/>
    <w:rsid w:val="007D788D"/>
    <w:rsid w:val="007E7325"/>
    <w:rsid w:val="00802C83"/>
    <w:rsid w:val="00803497"/>
    <w:rsid w:val="008045DD"/>
    <w:rsid w:val="00831EFA"/>
    <w:rsid w:val="00841889"/>
    <w:rsid w:val="008A50A2"/>
    <w:rsid w:val="009217AE"/>
    <w:rsid w:val="00956C8E"/>
    <w:rsid w:val="00980031"/>
    <w:rsid w:val="009817D2"/>
    <w:rsid w:val="009879CC"/>
    <w:rsid w:val="00995309"/>
    <w:rsid w:val="0099746E"/>
    <w:rsid w:val="00A06921"/>
    <w:rsid w:val="00A13EF4"/>
    <w:rsid w:val="00A20F49"/>
    <w:rsid w:val="00A56E70"/>
    <w:rsid w:val="00A62EB9"/>
    <w:rsid w:val="00AE2D7B"/>
    <w:rsid w:val="00B04336"/>
    <w:rsid w:val="00B1657E"/>
    <w:rsid w:val="00B2324C"/>
    <w:rsid w:val="00B270C9"/>
    <w:rsid w:val="00B31925"/>
    <w:rsid w:val="00B82EB3"/>
    <w:rsid w:val="00BC0659"/>
    <w:rsid w:val="00BE5E67"/>
    <w:rsid w:val="00C42916"/>
    <w:rsid w:val="00C713E7"/>
    <w:rsid w:val="00C74DCE"/>
    <w:rsid w:val="00CE59AF"/>
    <w:rsid w:val="00D33460"/>
    <w:rsid w:val="00D87A8F"/>
    <w:rsid w:val="00E14BE0"/>
    <w:rsid w:val="00E87D7E"/>
    <w:rsid w:val="00E910DA"/>
    <w:rsid w:val="00EA7450"/>
    <w:rsid w:val="00EC652B"/>
    <w:rsid w:val="00F17854"/>
    <w:rsid w:val="00F30B2D"/>
    <w:rsid w:val="00F37136"/>
    <w:rsid w:val="00F50062"/>
    <w:rsid w:val="00F50942"/>
    <w:rsid w:val="00F80221"/>
    <w:rsid w:val="00F9120C"/>
    <w:rsid w:val="00F963F4"/>
    <w:rsid w:val="00F96C7C"/>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semiHidden/>
    <w:unhideWhenUsed/>
    <w:rsid w:val="00E87D7E"/>
    <w:rPr>
      <w:sz w:val="20"/>
      <w:szCs w:val="20"/>
    </w:rPr>
  </w:style>
  <w:style w:type="character" w:customStyle="1" w:styleId="KomentratekstsRakstz">
    <w:name w:val="Komentāra teksts Rakstz."/>
    <w:basedOn w:val="Noklusjumarindkopasfonts"/>
    <w:link w:val="Komentrateksts"/>
    <w:uiPriority w:val="99"/>
    <w:semiHidden/>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vs.iub.gov.lv/show/7167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zraudziba.bank.lv/tirgus-dalibnieki/apdrosinasanas-sabiedriba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8DB0-563F-4225-B18E-2D589C6B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4853</Words>
  <Characters>2767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Agita Forande</cp:lastModifiedBy>
  <cp:revision>10</cp:revision>
  <cp:lastPrinted>2023-04-04T09:09:00Z</cp:lastPrinted>
  <dcterms:created xsi:type="dcterms:W3CDTF">2023-04-04T07:49:00Z</dcterms:created>
  <dcterms:modified xsi:type="dcterms:W3CDTF">2023-04-04T10:30:00Z</dcterms:modified>
</cp:coreProperties>
</file>