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39FF" w14:textId="77777777" w:rsidR="00B2324C" w:rsidRPr="00A74BAE" w:rsidRDefault="00B2324C" w:rsidP="00233F11">
      <w:pPr>
        <w:spacing w:before="60" w:after="60"/>
        <w:jc w:val="center"/>
        <w:rPr>
          <w:lang w:val="lv-LV"/>
        </w:rPr>
      </w:pPr>
      <w:bookmarkStart w:id="0" w:name="_Hlk40701120"/>
      <w:bookmarkStart w:id="1" w:name="_Hlk43277620"/>
      <w:r w:rsidRPr="00A74BAE">
        <w:rPr>
          <w:lang w:val="lv-LV"/>
        </w:rPr>
        <w:t xml:space="preserve">Rīgas domes Izglītības, kultūras un sporta departamenta </w:t>
      </w:r>
    </w:p>
    <w:p w14:paraId="59E4DE80" w14:textId="77777777" w:rsidR="00B2324C" w:rsidRPr="00A74BAE" w:rsidRDefault="00B2324C" w:rsidP="00233F11">
      <w:pPr>
        <w:spacing w:before="60" w:after="60"/>
        <w:jc w:val="center"/>
        <w:rPr>
          <w:lang w:val="lv-LV"/>
        </w:rPr>
      </w:pPr>
      <w:r w:rsidRPr="00A74BAE">
        <w:rPr>
          <w:lang w:val="lv-LV"/>
        </w:rPr>
        <w:t>atklātā konkursa</w:t>
      </w:r>
    </w:p>
    <w:bookmarkEnd w:id="0"/>
    <w:bookmarkEnd w:id="1"/>
    <w:p w14:paraId="09C8C4FD" w14:textId="77777777" w:rsidR="00EA7450" w:rsidRPr="00A74BAE" w:rsidRDefault="00EA7450" w:rsidP="003636AE">
      <w:pPr>
        <w:jc w:val="center"/>
        <w:rPr>
          <w:b/>
          <w:bCs/>
          <w:szCs w:val="26"/>
          <w:lang w:val="lv-LV"/>
        </w:rPr>
      </w:pPr>
      <w:r w:rsidRPr="00A74BAE">
        <w:rPr>
          <w:rFonts w:eastAsia="Calibri"/>
          <w:b/>
          <w:bCs/>
          <w:szCs w:val="26"/>
          <w:lang w:val="lv-LV"/>
        </w:rPr>
        <w:t>Portatīvo datoru apdrošināšanas pakalpojumi Rīgas domes Izglītības, kultūras un sporta departamenta padotībā esošo skolu vajadzībām</w:t>
      </w:r>
      <w:r w:rsidRPr="00A74BAE">
        <w:rPr>
          <w:b/>
          <w:bCs/>
          <w:szCs w:val="26"/>
          <w:lang w:val="lv-LV"/>
        </w:rPr>
        <w:t>”</w:t>
      </w:r>
    </w:p>
    <w:p w14:paraId="7639DA13" w14:textId="0532CDDD" w:rsidR="00EA7450" w:rsidRPr="00A74BAE" w:rsidRDefault="00EA7450" w:rsidP="003636AE">
      <w:pPr>
        <w:jc w:val="center"/>
        <w:rPr>
          <w:szCs w:val="26"/>
          <w:lang w:val="lv-LV"/>
        </w:rPr>
      </w:pPr>
      <w:r w:rsidRPr="00A74BAE">
        <w:rPr>
          <w:szCs w:val="26"/>
          <w:lang w:val="lv-LV"/>
        </w:rPr>
        <w:t xml:space="preserve"> (identifikācijas Nr. RD IKSD 2023/</w:t>
      </w:r>
      <w:r w:rsidR="007F0E91" w:rsidRPr="00A74BAE">
        <w:rPr>
          <w:szCs w:val="26"/>
          <w:lang w:val="lv-LV"/>
        </w:rPr>
        <w:t>7</w:t>
      </w:r>
      <w:r w:rsidRPr="00A74BAE">
        <w:rPr>
          <w:szCs w:val="26"/>
          <w:lang w:val="lv-LV"/>
        </w:rPr>
        <w:t>)</w:t>
      </w:r>
    </w:p>
    <w:p w14:paraId="247005A3" w14:textId="77777777" w:rsidR="00EA7450" w:rsidRPr="00A74BAE" w:rsidRDefault="00EA7450" w:rsidP="003636AE">
      <w:pPr>
        <w:jc w:val="center"/>
        <w:rPr>
          <w:b/>
          <w:bCs/>
          <w:szCs w:val="26"/>
          <w:lang w:val="lv-LV"/>
        </w:rPr>
      </w:pPr>
      <w:r w:rsidRPr="00A74BAE">
        <w:rPr>
          <w:b/>
          <w:bCs/>
          <w:szCs w:val="26"/>
          <w:lang w:val="lv-LV"/>
        </w:rPr>
        <w:t>ZIŅOJUMS</w:t>
      </w:r>
    </w:p>
    <w:p w14:paraId="78950611" w14:textId="77777777" w:rsidR="00EA7450" w:rsidRPr="00A74BAE" w:rsidRDefault="00EA7450" w:rsidP="003636AE">
      <w:pPr>
        <w:jc w:val="center"/>
        <w:rPr>
          <w:sz w:val="16"/>
          <w:szCs w:val="16"/>
          <w:lang w:val="lv-LV"/>
        </w:rPr>
      </w:pPr>
    </w:p>
    <w:p w14:paraId="37CA8E95" w14:textId="77777777" w:rsidR="007F0E91" w:rsidRPr="00A74BAE" w:rsidRDefault="007F0E91" w:rsidP="007F0E91">
      <w:pPr>
        <w:jc w:val="both"/>
        <w:rPr>
          <w:i/>
          <w:iCs/>
          <w:szCs w:val="26"/>
          <w:lang w:val="lv-LV" w:eastAsia="ar-SA"/>
        </w:rPr>
      </w:pPr>
      <w:r w:rsidRPr="00A74BAE">
        <w:rPr>
          <w:i/>
          <w:iCs/>
          <w:szCs w:val="26"/>
          <w:lang w:val="lv-LV" w:eastAsia="ar-SA"/>
        </w:rPr>
        <w:t xml:space="preserve">Dokumenta parakstīšanas datums </w:t>
      </w:r>
    </w:p>
    <w:p w14:paraId="70CCB787" w14:textId="77777777" w:rsidR="007F0E91" w:rsidRPr="00A74BAE" w:rsidRDefault="007F0E91" w:rsidP="007F0E91">
      <w:pPr>
        <w:jc w:val="both"/>
        <w:rPr>
          <w:i/>
          <w:iCs/>
          <w:szCs w:val="26"/>
          <w:lang w:val="lv-LV" w:eastAsia="ar-SA"/>
        </w:rPr>
      </w:pPr>
      <w:r w:rsidRPr="00A74BAE">
        <w:rPr>
          <w:i/>
          <w:iCs/>
          <w:szCs w:val="26"/>
          <w:lang w:val="lv-LV" w:eastAsia="ar-SA"/>
        </w:rPr>
        <w:t xml:space="preserve">ir pēdējā pievienotā droša elektroniskā paraksta </w:t>
      </w:r>
    </w:p>
    <w:p w14:paraId="0816C1CD" w14:textId="4B3C3D30" w:rsidR="00EA7450" w:rsidRPr="00A74BAE" w:rsidRDefault="007F0E91" w:rsidP="007F0E91">
      <w:pPr>
        <w:jc w:val="both"/>
        <w:rPr>
          <w:i/>
          <w:iCs/>
          <w:szCs w:val="26"/>
          <w:lang w:val="lv-LV" w:eastAsia="ar-SA"/>
        </w:rPr>
      </w:pPr>
      <w:r w:rsidRPr="00A74BAE">
        <w:rPr>
          <w:i/>
          <w:iCs/>
          <w:szCs w:val="26"/>
          <w:lang w:val="lv-LV" w:eastAsia="ar-SA"/>
        </w:rPr>
        <w:t>un tā laika zīmoga datums</w:t>
      </w:r>
    </w:p>
    <w:p w14:paraId="610444FC" w14:textId="77777777" w:rsidR="00AA4CBA" w:rsidRPr="00A74BAE" w:rsidRDefault="00AA4CBA" w:rsidP="007F0E91">
      <w:pPr>
        <w:jc w:val="both"/>
        <w:rPr>
          <w:i/>
          <w:iCs/>
          <w:szCs w:val="26"/>
          <w:lang w:val="lv-LV" w:eastAsia="ar-SA"/>
        </w:rPr>
      </w:pPr>
    </w:p>
    <w:tbl>
      <w:tblPr>
        <w:tblStyle w:val="Reatabula"/>
        <w:tblW w:w="10173" w:type="dxa"/>
        <w:tblLayout w:type="fixed"/>
        <w:tblLook w:val="04A0" w:firstRow="1" w:lastRow="0" w:firstColumn="1" w:lastColumn="0" w:noHBand="0" w:noVBand="1"/>
      </w:tblPr>
      <w:tblGrid>
        <w:gridCol w:w="3510"/>
        <w:gridCol w:w="6663"/>
      </w:tblGrid>
      <w:tr w:rsidR="00841889" w:rsidRPr="00A74BAE" w14:paraId="7F37638C" w14:textId="77777777" w:rsidTr="00480BB1">
        <w:tc>
          <w:tcPr>
            <w:tcW w:w="3510" w:type="dxa"/>
          </w:tcPr>
          <w:p w14:paraId="017867A9" w14:textId="77777777" w:rsidR="007D4EAB" w:rsidRPr="00A74BAE" w:rsidRDefault="00116BA7" w:rsidP="00233F11">
            <w:pPr>
              <w:spacing w:before="60" w:after="60"/>
              <w:jc w:val="both"/>
              <w:rPr>
                <w:lang w:val="lv-LV" w:eastAsia="ar-SA"/>
              </w:rPr>
            </w:pPr>
            <w:r w:rsidRPr="00A74BAE">
              <w:rPr>
                <w:lang w:val="lv-LV" w:eastAsia="ar-SA"/>
              </w:rPr>
              <w:t>Pasūtītājs</w:t>
            </w:r>
          </w:p>
        </w:tc>
        <w:tc>
          <w:tcPr>
            <w:tcW w:w="6663" w:type="dxa"/>
          </w:tcPr>
          <w:p w14:paraId="032D62E3" w14:textId="79139D03" w:rsidR="007D4EAB" w:rsidRPr="00A74BAE" w:rsidRDefault="00EA7450" w:rsidP="00233F11">
            <w:pPr>
              <w:spacing w:before="60" w:after="60"/>
              <w:jc w:val="both"/>
              <w:rPr>
                <w:color w:val="FF0000"/>
                <w:lang w:val="lv-LV" w:eastAsia="ar-SA"/>
              </w:rPr>
            </w:pPr>
            <w:r w:rsidRPr="00A74BAE">
              <w:rPr>
                <w:szCs w:val="26"/>
                <w:lang w:val="lv-LV" w:eastAsia="ar-SA"/>
              </w:rPr>
              <w:t xml:space="preserve">Rīgas domes Izglītības, kultūras un sporta departaments (adrese: Krišjāņa Valdemāra ielā 5, Rīgā, LV-1010, RD iestādes kods: 210) ir Rīgas </w:t>
            </w:r>
            <w:proofErr w:type="spellStart"/>
            <w:r w:rsidRPr="00A74BAE">
              <w:rPr>
                <w:szCs w:val="26"/>
                <w:lang w:val="lv-LV" w:eastAsia="ar-SA"/>
              </w:rPr>
              <w:t>valstpilsētas</w:t>
            </w:r>
            <w:proofErr w:type="spellEnd"/>
            <w:r w:rsidRPr="00A74BAE">
              <w:rPr>
                <w:szCs w:val="26"/>
                <w:lang w:val="lv-LV" w:eastAsia="ar-SA"/>
              </w:rPr>
              <w:t xml:space="preserve"> pašvaldības (adrese: Rātslaukums 1, Rīga, LV-1050, NMR kods: 90011524360, PVN </w:t>
            </w:r>
            <w:proofErr w:type="spellStart"/>
            <w:r w:rsidRPr="00A74BAE">
              <w:rPr>
                <w:szCs w:val="26"/>
                <w:lang w:val="lv-LV" w:eastAsia="ar-SA"/>
              </w:rPr>
              <w:t>reģ</w:t>
            </w:r>
            <w:proofErr w:type="spellEnd"/>
            <w:r w:rsidRPr="00A74BAE">
              <w:rPr>
                <w:szCs w:val="26"/>
                <w:lang w:val="lv-LV" w:eastAsia="ar-SA"/>
              </w:rPr>
              <w:t>. nr.: LV90011524360) struktūrvienība</w:t>
            </w:r>
          </w:p>
        </w:tc>
      </w:tr>
      <w:tr w:rsidR="00841889" w:rsidRPr="00A74BAE" w14:paraId="02BE32D1" w14:textId="77777777" w:rsidTr="00480BB1">
        <w:tc>
          <w:tcPr>
            <w:tcW w:w="3510" w:type="dxa"/>
          </w:tcPr>
          <w:p w14:paraId="0AF2E955" w14:textId="77777777" w:rsidR="007D4EAB" w:rsidRPr="00A74BAE" w:rsidRDefault="0007139A" w:rsidP="00233F11">
            <w:pPr>
              <w:spacing w:before="60" w:after="60"/>
              <w:jc w:val="both"/>
              <w:rPr>
                <w:lang w:val="lv-LV" w:eastAsia="ar-SA"/>
              </w:rPr>
            </w:pPr>
            <w:r w:rsidRPr="00A74BAE">
              <w:rPr>
                <w:lang w:val="lv-LV"/>
              </w:rPr>
              <w:t>I</w:t>
            </w:r>
            <w:r w:rsidR="00116BA7" w:rsidRPr="00A74BAE">
              <w:rPr>
                <w:lang w:val="lv-LV"/>
              </w:rPr>
              <w:t>epirkuma identifikācijas numurs</w:t>
            </w:r>
          </w:p>
        </w:tc>
        <w:tc>
          <w:tcPr>
            <w:tcW w:w="6663" w:type="dxa"/>
          </w:tcPr>
          <w:p w14:paraId="23EE2996" w14:textId="515E8905" w:rsidR="007D4EAB" w:rsidRPr="00A74BAE" w:rsidRDefault="00EA7450" w:rsidP="00233F11">
            <w:pPr>
              <w:spacing w:before="60" w:after="60"/>
              <w:jc w:val="both"/>
              <w:rPr>
                <w:color w:val="FF0000"/>
                <w:lang w:val="lv-LV" w:eastAsia="ar-SA"/>
              </w:rPr>
            </w:pPr>
            <w:r w:rsidRPr="00A74BAE">
              <w:rPr>
                <w:szCs w:val="26"/>
                <w:lang w:val="lv-LV" w:eastAsia="ar-SA"/>
              </w:rPr>
              <w:t>RD IKSD 2023/</w:t>
            </w:r>
            <w:r w:rsidR="007F0E91" w:rsidRPr="00A74BAE">
              <w:rPr>
                <w:szCs w:val="26"/>
                <w:lang w:val="lv-LV" w:eastAsia="ar-SA"/>
              </w:rPr>
              <w:t>7</w:t>
            </w:r>
          </w:p>
        </w:tc>
      </w:tr>
      <w:tr w:rsidR="00841889" w:rsidRPr="00A74BAE" w14:paraId="1ECE97A0" w14:textId="77777777" w:rsidTr="00480BB1">
        <w:tc>
          <w:tcPr>
            <w:tcW w:w="3510" w:type="dxa"/>
          </w:tcPr>
          <w:p w14:paraId="55B02ECD" w14:textId="77777777" w:rsidR="007D4EAB" w:rsidRPr="00A74BAE" w:rsidRDefault="0007139A" w:rsidP="00233F11">
            <w:pPr>
              <w:spacing w:before="60" w:after="60"/>
              <w:jc w:val="both"/>
              <w:rPr>
                <w:lang w:val="lv-LV" w:eastAsia="ar-SA"/>
              </w:rPr>
            </w:pPr>
            <w:r w:rsidRPr="00A74BAE">
              <w:rPr>
                <w:lang w:val="lv-LV"/>
              </w:rPr>
              <w:t>I</w:t>
            </w:r>
            <w:r w:rsidR="00116BA7" w:rsidRPr="00A74BAE">
              <w:rPr>
                <w:lang w:val="lv-LV"/>
              </w:rPr>
              <w:t>epirkuma procedūras veids</w:t>
            </w:r>
          </w:p>
        </w:tc>
        <w:tc>
          <w:tcPr>
            <w:tcW w:w="6663" w:type="dxa"/>
          </w:tcPr>
          <w:p w14:paraId="63005520" w14:textId="6D64B3BE" w:rsidR="007D4EAB" w:rsidRPr="00A74BAE" w:rsidRDefault="00EA7450" w:rsidP="00233F11">
            <w:pPr>
              <w:spacing w:before="60" w:after="60"/>
              <w:jc w:val="both"/>
              <w:rPr>
                <w:color w:val="FF0000"/>
                <w:lang w:val="lv-LV" w:eastAsia="ar-SA"/>
              </w:rPr>
            </w:pPr>
            <w:r w:rsidRPr="00A74BAE">
              <w:rPr>
                <w:szCs w:val="26"/>
                <w:lang w:val="lv-LV" w:eastAsia="ar-SA"/>
              </w:rPr>
              <w:t xml:space="preserve">Atklāts konkurss </w:t>
            </w:r>
            <w:r w:rsidRPr="00A74BAE">
              <w:rPr>
                <w:szCs w:val="26"/>
                <w:lang w:val="lv-LV"/>
              </w:rPr>
              <w:t>atbilstoši Publisko iepirkumu likuma (turpmāk – PIL) 8. panta pirmās daļas 1. punktam un</w:t>
            </w:r>
            <w:r w:rsidRPr="00A74BAE">
              <w:rPr>
                <w:bCs/>
                <w:szCs w:val="26"/>
                <w:lang w:val="lv-LV"/>
              </w:rPr>
              <w:t xml:space="preserve"> Ministru kabineta 28.02.2017. noteikumiem Nr.107 “Iepirkuma procedūru un metu konkursu norises kārtība”.</w:t>
            </w:r>
          </w:p>
        </w:tc>
      </w:tr>
      <w:tr w:rsidR="00841889" w:rsidRPr="00A74BAE" w14:paraId="1E523646" w14:textId="77777777" w:rsidTr="00480BB1">
        <w:tc>
          <w:tcPr>
            <w:tcW w:w="3510" w:type="dxa"/>
          </w:tcPr>
          <w:p w14:paraId="769B9749" w14:textId="77777777" w:rsidR="00116BA7" w:rsidRPr="00A74BAE" w:rsidRDefault="007E7325" w:rsidP="00233F11">
            <w:pPr>
              <w:spacing w:before="60" w:after="60"/>
              <w:jc w:val="both"/>
              <w:rPr>
                <w:lang w:val="lv-LV"/>
              </w:rPr>
            </w:pPr>
            <w:r w:rsidRPr="00A74BAE">
              <w:rPr>
                <w:lang w:val="lv-LV"/>
              </w:rPr>
              <w:t>Iepirkuma</w:t>
            </w:r>
            <w:r w:rsidR="00116BA7" w:rsidRPr="00A74BAE">
              <w:rPr>
                <w:lang w:val="lv-LV"/>
              </w:rPr>
              <w:t xml:space="preserve"> priekšmets</w:t>
            </w:r>
          </w:p>
        </w:tc>
        <w:tc>
          <w:tcPr>
            <w:tcW w:w="6663" w:type="dxa"/>
          </w:tcPr>
          <w:p w14:paraId="1BD701C4" w14:textId="77777777" w:rsidR="00EA7450" w:rsidRPr="00A74BAE" w:rsidRDefault="00EA7450" w:rsidP="00EA7450">
            <w:pPr>
              <w:tabs>
                <w:tab w:val="left" w:pos="1134"/>
              </w:tabs>
              <w:jc w:val="both"/>
              <w:rPr>
                <w:rFonts w:eastAsia="Calibri"/>
                <w:szCs w:val="26"/>
                <w:lang w:val="lv-LV"/>
              </w:rPr>
            </w:pPr>
            <w:r w:rsidRPr="00A74BAE">
              <w:rPr>
                <w:rFonts w:eastAsia="Calibri"/>
                <w:szCs w:val="26"/>
                <w:lang w:val="lv-LV"/>
              </w:rPr>
              <w:t>Portatīvo datoru apdrošināšanas pakalpojumi Rīgas domes Izglītības, kultūras un sporta departamenta padotībā esošo skolu vajadzībām.</w:t>
            </w:r>
          </w:p>
          <w:p w14:paraId="053D5E2A" w14:textId="64969E7B" w:rsidR="00FA29F5" w:rsidRPr="00A74BAE" w:rsidRDefault="00EA7450" w:rsidP="00EA7450">
            <w:pPr>
              <w:spacing w:line="276" w:lineRule="auto"/>
              <w:jc w:val="both"/>
              <w:rPr>
                <w:bCs/>
                <w:color w:val="FF0000"/>
                <w:lang w:val="lv-LV"/>
              </w:rPr>
            </w:pPr>
            <w:r w:rsidRPr="00A74BAE">
              <w:rPr>
                <w:rFonts w:eastAsia="Calibri"/>
                <w:szCs w:val="26"/>
                <w:lang w:val="lv-LV"/>
              </w:rPr>
              <w:t>Iepirkuma nomenklatūra (CPV)</w:t>
            </w:r>
            <w:r w:rsidR="006344E3" w:rsidRPr="00A74BAE">
              <w:rPr>
                <w:rFonts w:eastAsia="Calibri"/>
                <w:szCs w:val="26"/>
                <w:lang w:val="lv-LV"/>
              </w:rPr>
              <w:t xml:space="preserve"> </w:t>
            </w:r>
            <w:r w:rsidRPr="00A74BAE">
              <w:rPr>
                <w:rFonts w:eastAsia="Calibri"/>
                <w:szCs w:val="26"/>
                <w:lang w:val="lv-LV"/>
              </w:rPr>
              <w:t>- 66510000-8 Apdrošināšanas pakalpojumi.</w:t>
            </w:r>
          </w:p>
        </w:tc>
      </w:tr>
      <w:tr w:rsidR="00841889" w:rsidRPr="00A74BAE" w14:paraId="4495ADEC" w14:textId="77777777" w:rsidTr="00480BB1">
        <w:tc>
          <w:tcPr>
            <w:tcW w:w="3510" w:type="dxa"/>
          </w:tcPr>
          <w:p w14:paraId="52F8CAB3" w14:textId="77777777" w:rsidR="00FD3A54" w:rsidRPr="00A74BAE" w:rsidRDefault="00FD3A54" w:rsidP="00233F11">
            <w:pPr>
              <w:spacing w:before="60" w:after="60"/>
              <w:jc w:val="both"/>
              <w:rPr>
                <w:lang w:val="lv-LV"/>
              </w:rPr>
            </w:pPr>
            <w:r w:rsidRPr="00A74BAE">
              <w:rPr>
                <w:lang w:val="lv-LV"/>
              </w:rPr>
              <w:t>Datums, kad paziņojums par līgumu un iepriekšējais informatīvais paziņojums, ja tāds ir izmantots, publicēts Eiropas Savienības Oficiālajā Vēstnesī (ja attiecināms) un Iepirkumu uzraudzības biroja tīmekļvietnē</w:t>
            </w:r>
          </w:p>
        </w:tc>
        <w:tc>
          <w:tcPr>
            <w:tcW w:w="6663" w:type="dxa"/>
          </w:tcPr>
          <w:p w14:paraId="2D851739" w14:textId="77777777" w:rsidR="007E7325" w:rsidRPr="00A74BAE" w:rsidRDefault="00FD3A54" w:rsidP="00233F11">
            <w:pPr>
              <w:spacing w:before="60" w:after="60"/>
              <w:jc w:val="both"/>
              <w:rPr>
                <w:lang w:val="lv-LV"/>
              </w:rPr>
            </w:pPr>
            <w:r w:rsidRPr="00A74BAE">
              <w:rPr>
                <w:lang w:val="lv-LV"/>
              </w:rPr>
              <w:t>Eiropas Savienības Oficiālajā Vēstnesī</w:t>
            </w:r>
            <w:r w:rsidR="007E7325" w:rsidRPr="00A74BAE">
              <w:rPr>
                <w:lang w:val="lv-LV"/>
              </w:rPr>
              <w:t xml:space="preserve"> – nav attiecināms</w:t>
            </w:r>
          </w:p>
          <w:p w14:paraId="3C5A5240" w14:textId="17E2BC48" w:rsidR="00EA7450" w:rsidRPr="00A74BAE" w:rsidRDefault="00EA7450" w:rsidP="00233F11">
            <w:pPr>
              <w:spacing w:before="60" w:after="60"/>
              <w:jc w:val="both"/>
              <w:rPr>
                <w:lang w:val="lv-LV"/>
              </w:rPr>
            </w:pPr>
            <w:r w:rsidRPr="00A74BAE">
              <w:rPr>
                <w:lang w:val="lv-LV"/>
              </w:rPr>
              <w:t xml:space="preserve">Iepirkumu uzraudzības biroja tīmekļvietnē – </w:t>
            </w:r>
            <w:r w:rsidR="007F0E91" w:rsidRPr="00A74BAE">
              <w:rPr>
                <w:lang w:val="lv-LV"/>
              </w:rPr>
              <w:t>20.04</w:t>
            </w:r>
            <w:r w:rsidRPr="00A74BAE">
              <w:rPr>
                <w:lang w:val="lv-LV"/>
              </w:rPr>
              <w:t>.2023.</w:t>
            </w:r>
          </w:p>
          <w:p w14:paraId="65D8ADF0" w14:textId="7939E02F" w:rsidR="006B4ADC" w:rsidRPr="00A74BAE" w:rsidRDefault="006E0042" w:rsidP="00233F11">
            <w:pPr>
              <w:spacing w:before="60" w:after="60"/>
              <w:jc w:val="both"/>
              <w:rPr>
                <w:color w:val="FF0000"/>
                <w:lang w:val="lv-LV"/>
              </w:rPr>
            </w:pPr>
            <w:hyperlink r:id="rId8" w:history="1">
              <w:r w:rsidR="006B4ADC" w:rsidRPr="00A74BAE">
                <w:rPr>
                  <w:u w:val="single"/>
                  <w:lang w:val="lv-LV"/>
                </w:rPr>
                <w:t>Iepirkumu uzraudzības birojs (iub.gov.lv)</w:t>
              </w:r>
            </w:hyperlink>
          </w:p>
        </w:tc>
      </w:tr>
      <w:tr w:rsidR="00841889" w:rsidRPr="00A74BAE" w14:paraId="3FEE4850" w14:textId="77777777" w:rsidTr="00480BB1">
        <w:tc>
          <w:tcPr>
            <w:tcW w:w="3510" w:type="dxa"/>
          </w:tcPr>
          <w:p w14:paraId="3D3E197E" w14:textId="77777777" w:rsidR="008045DD" w:rsidRPr="00A74BAE" w:rsidRDefault="00FD3A54" w:rsidP="00233F11">
            <w:pPr>
              <w:spacing w:before="60" w:after="60"/>
              <w:jc w:val="both"/>
              <w:rPr>
                <w:lang w:val="lv-LV"/>
              </w:rPr>
            </w:pPr>
            <w:r w:rsidRPr="00A74BAE">
              <w:rPr>
                <w:lang w:val="lv-LV"/>
              </w:rPr>
              <w:t>Iepirkuma komisijas sastāvs un tās izveidošanas pamatojums, iepirkuma procedūras dokumentu sagatavotāji un pieaicinātie eksperti</w:t>
            </w:r>
          </w:p>
        </w:tc>
        <w:tc>
          <w:tcPr>
            <w:tcW w:w="6663" w:type="dxa"/>
          </w:tcPr>
          <w:p w14:paraId="7CE266D3" w14:textId="1A8B65ED" w:rsidR="00EA7450" w:rsidRPr="00A74BAE" w:rsidRDefault="00EA7450" w:rsidP="00EA7450">
            <w:pPr>
              <w:ind w:right="17"/>
              <w:jc w:val="both"/>
              <w:rPr>
                <w:lang w:val="lv-LV"/>
              </w:rPr>
            </w:pPr>
            <w:r w:rsidRPr="00A74BAE">
              <w:rPr>
                <w:lang w:val="lv-LV"/>
              </w:rPr>
              <w:t xml:space="preserve">Iepirkuma komisijas, kas izveidota pamatojoties uz Publisko iepirkumu likuma 24. pantu un saskaņā </w:t>
            </w:r>
            <w:r w:rsidR="007F0E91" w:rsidRPr="00A74BAE">
              <w:rPr>
                <w:lang w:val="lv-LV"/>
              </w:rPr>
              <w:t>ar Departamenta 12.04.2023. rīkojumu Nr. DIKS-23-428-rs un 17.04.2023. rīkojuma grozījumiem Nr. DIKS-23-437-rs</w:t>
            </w:r>
            <w:r w:rsidRPr="00A74BAE">
              <w:rPr>
                <w:lang w:val="lv-LV"/>
              </w:rPr>
              <w:t>, šādā sastāvā:</w:t>
            </w:r>
          </w:p>
          <w:p w14:paraId="11C1389B" w14:textId="77777777" w:rsidR="007F0E91" w:rsidRPr="00A74BAE" w:rsidRDefault="007F0E91" w:rsidP="007F0E91">
            <w:pPr>
              <w:ind w:right="17"/>
              <w:jc w:val="both"/>
              <w:rPr>
                <w:lang w:val="lv-LV"/>
              </w:rPr>
            </w:pPr>
            <w:r w:rsidRPr="00A74BAE">
              <w:rPr>
                <w:lang w:val="lv-LV"/>
              </w:rPr>
              <w:t>Komisijas priekšsēdētāja – Departamenta Tiesiskā nodrošinājuma pārvaldes Iepirkumu nodaļas galvenā eksperte iepirkumu jautājumos – juriskonsulte Inese Liepa;</w:t>
            </w:r>
          </w:p>
          <w:p w14:paraId="3CA5499B" w14:textId="7FE0DEE4" w:rsidR="007F0E91" w:rsidRPr="00A74BAE" w:rsidRDefault="007F0E91" w:rsidP="007F0E91">
            <w:pPr>
              <w:ind w:right="17"/>
              <w:jc w:val="both"/>
              <w:rPr>
                <w:lang w:val="lv-LV"/>
              </w:rPr>
            </w:pPr>
            <w:r w:rsidRPr="00A74BAE">
              <w:rPr>
                <w:lang w:val="lv-LV"/>
              </w:rPr>
              <w:t>Komisijas priekšsēdētāja vietniece – Departamenta Tiesiskā nodrošinājuma pārvaldes Iepirkumu nodaļas galvenā eksperte iepirkumu jautājumos Agita Forande;</w:t>
            </w:r>
          </w:p>
          <w:p w14:paraId="2C059B19" w14:textId="12D0789A" w:rsidR="007F0E91" w:rsidRPr="00A74BAE" w:rsidRDefault="007F0E91" w:rsidP="007F0E91">
            <w:pPr>
              <w:ind w:right="17"/>
              <w:jc w:val="both"/>
              <w:rPr>
                <w:lang w:val="lv-LV"/>
              </w:rPr>
            </w:pPr>
            <w:r w:rsidRPr="00A74BAE">
              <w:rPr>
                <w:lang w:val="lv-LV"/>
              </w:rPr>
              <w:t>Komisijas sastāvā:</w:t>
            </w:r>
          </w:p>
          <w:p w14:paraId="6E1BD51D" w14:textId="5528E2E4" w:rsidR="007F0E91" w:rsidRPr="00A74BAE" w:rsidRDefault="007F0E91" w:rsidP="007F0E91">
            <w:pPr>
              <w:ind w:right="17"/>
              <w:jc w:val="both"/>
              <w:rPr>
                <w:lang w:val="lv-LV"/>
              </w:rPr>
            </w:pPr>
            <w:r w:rsidRPr="00A74BAE">
              <w:rPr>
                <w:lang w:val="lv-LV"/>
              </w:rPr>
              <w:t>Departamenta Tiesiskā nodrošinājuma pārvaldes Iepirkumu nodaļas galvenā eksperte iepirkumu jautājumos Anastasija Goļatkina,</w:t>
            </w:r>
          </w:p>
          <w:p w14:paraId="0B5E68FC" w14:textId="7947EDAD" w:rsidR="008045DD" w:rsidRPr="00A74BAE" w:rsidRDefault="007F0E91" w:rsidP="007F0E91">
            <w:pPr>
              <w:ind w:right="17"/>
              <w:jc w:val="both"/>
              <w:rPr>
                <w:lang w:val="lv-LV"/>
              </w:rPr>
            </w:pPr>
            <w:r w:rsidRPr="00A74BAE">
              <w:rPr>
                <w:lang w:val="lv-LV"/>
              </w:rPr>
              <w:t xml:space="preserve">Departamenta projekta “Izglītības iestāžu </w:t>
            </w:r>
            <w:proofErr w:type="spellStart"/>
            <w:r w:rsidRPr="00A74BAE">
              <w:rPr>
                <w:lang w:val="lv-LV"/>
              </w:rPr>
              <w:t>digitalizācija</w:t>
            </w:r>
            <w:proofErr w:type="spellEnd"/>
            <w:r w:rsidRPr="00A74BAE">
              <w:rPr>
                <w:lang w:val="lv-LV"/>
              </w:rPr>
              <w:t xml:space="preserve"> 7.-9. klasēm” vadītāja Iluta Ādama.</w:t>
            </w:r>
          </w:p>
        </w:tc>
      </w:tr>
      <w:tr w:rsidR="00841889" w:rsidRPr="00A74BAE" w14:paraId="09F9FFDD" w14:textId="77777777" w:rsidTr="00480BB1">
        <w:tc>
          <w:tcPr>
            <w:tcW w:w="3510" w:type="dxa"/>
          </w:tcPr>
          <w:p w14:paraId="33590AD1" w14:textId="77777777" w:rsidR="00FD3A54" w:rsidRPr="00A74BAE" w:rsidRDefault="00FD3A54" w:rsidP="00233F11">
            <w:pPr>
              <w:spacing w:before="60" w:after="60"/>
              <w:jc w:val="both"/>
              <w:rPr>
                <w:lang w:val="lv-LV"/>
              </w:rPr>
            </w:pPr>
            <w:r w:rsidRPr="00A74BAE">
              <w:rPr>
                <w:lang w:val="lv-LV"/>
              </w:rPr>
              <w:t>Piedāvājumu iesniegšanas termiņš</w:t>
            </w:r>
          </w:p>
        </w:tc>
        <w:tc>
          <w:tcPr>
            <w:tcW w:w="6663" w:type="dxa"/>
          </w:tcPr>
          <w:p w14:paraId="7A00C106" w14:textId="587969BA" w:rsidR="00FD3A54" w:rsidRPr="00A74BAE" w:rsidRDefault="00FD3A54" w:rsidP="00233F11">
            <w:pPr>
              <w:spacing w:before="60" w:after="60"/>
              <w:jc w:val="both"/>
              <w:rPr>
                <w:lang w:val="lv-LV"/>
              </w:rPr>
            </w:pPr>
            <w:r w:rsidRPr="00A74BAE">
              <w:rPr>
                <w:lang w:val="lv-LV"/>
              </w:rPr>
              <w:t xml:space="preserve">Līdz </w:t>
            </w:r>
            <w:r w:rsidR="007F0E91" w:rsidRPr="00A74BAE">
              <w:rPr>
                <w:lang w:val="lv-LV"/>
              </w:rPr>
              <w:t>10.05.</w:t>
            </w:r>
            <w:r w:rsidR="00F96C7C" w:rsidRPr="00A74BAE">
              <w:rPr>
                <w:szCs w:val="26"/>
                <w:lang w:val="lv-LV"/>
              </w:rPr>
              <w:t xml:space="preserve">2023. </w:t>
            </w:r>
            <w:r w:rsidRPr="00A74BAE">
              <w:rPr>
                <w:lang w:val="lv-LV"/>
              </w:rPr>
              <w:t>plkst.</w:t>
            </w:r>
            <w:r w:rsidR="00070752" w:rsidRPr="00A74BAE">
              <w:rPr>
                <w:lang w:val="lv-LV"/>
              </w:rPr>
              <w:t xml:space="preserve"> </w:t>
            </w:r>
            <w:r w:rsidR="007F0E91" w:rsidRPr="00A74BAE">
              <w:rPr>
                <w:lang w:val="lv-LV"/>
              </w:rPr>
              <w:t>9</w:t>
            </w:r>
            <w:r w:rsidR="00070752" w:rsidRPr="00A74BAE">
              <w:rPr>
                <w:lang w:val="lv-LV"/>
              </w:rPr>
              <w:t>.</w:t>
            </w:r>
            <w:r w:rsidRPr="00A74BAE">
              <w:rPr>
                <w:lang w:val="lv-LV"/>
              </w:rPr>
              <w:t>00</w:t>
            </w:r>
          </w:p>
        </w:tc>
      </w:tr>
      <w:tr w:rsidR="00480BB1" w:rsidRPr="00A74BAE" w14:paraId="3F4ECFD3" w14:textId="77777777" w:rsidTr="00480BB1">
        <w:tc>
          <w:tcPr>
            <w:tcW w:w="3510" w:type="dxa"/>
          </w:tcPr>
          <w:p w14:paraId="075233DC" w14:textId="195B1110" w:rsidR="00480BB1" w:rsidRPr="00A74BAE" w:rsidRDefault="00480BB1" w:rsidP="00480BB1">
            <w:pPr>
              <w:spacing w:before="60" w:after="60"/>
              <w:jc w:val="both"/>
              <w:rPr>
                <w:lang w:val="lv-LV"/>
              </w:rPr>
            </w:pPr>
            <w:r w:rsidRPr="00A74BAE">
              <w:rPr>
                <w:lang w:val="lv-LV"/>
              </w:rPr>
              <w:lastRenderedPageBreak/>
              <w:t>Pretendentu nosaukumi, kuri iesnieguši piedāvājumus un piedāvātās cenas</w:t>
            </w:r>
          </w:p>
        </w:tc>
        <w:tc>
          <w:tcPr>
            <w:tcW w:w="6663" w:type="dxa"/>
          </w:tcPr>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2410"/>
              <w:gridCol w:w="1650"/>
              <w:gridCol w:w="1837"/>
            </w:tblGrid>
            <w:tr w:rsidR="00AA4CBA" w:rsidRPr="00A74BAE" w14:paraId="7B1A024A" w14:textId="77777777" w:rsidTr="00482970">
              <w:tc>
                <w:tcPr>
                  <w:tcW w:w="346" w:type="pct"/>
                  <w:shd w:val="pct5" w:color="auto" w:fill="auto"/>
                </w:tcPr>
                <w:p w14:paraId="024C76B7" w14:textId="77777777" w:rsidR="00AA4CBA" w:rsidRPr="00A74BAE" w:rsidRDefault="00AA4CBA" w:rsidP="00AA4CBA">
                  <w:pPr>
                    <w:jc w:val="center"/>
                    <w:rPr>
                      <w:b/>
                      <w:bCs/>
                      <w:sz w:val="22"/>
                      <w:szCs w:val="22"/>
                      <w:lang w:val="lv-LV"/>
                    </w:rPr>
                  </w:pPr>
                  <w:proofErr w:type="spellStart"/>
                  <w:r w:rsidRPr="00A74BAE">
                    <w:rPr>
                      <w:b/>
                      <w:bCs/>
                      <w:sz w:val="22"/>
                      <w:szCs w:val="22"/>
                      <w:lang w:val="lv-LV"/>
                    </w:rPr>
                    <w:t>N.p.k</w:t>
                  </w:r>
                  <w:proofErr w:type="spellEnd"/>
                  <w:r w:rsidRPr="00A74BAE">
                    <w:rPr>
                      <w:b/>
                      <w:bCs/>
                      <w:sz w:val="22"/>
                      <w:szCs w:val="22"/>
                      <w:lang w:val="lv-LV"/>
                    </w:rPr>
                    <w:t>.</w:t>
                  </w:r>
                </w:p>
              </w:tc>
              <w:tc>
                <w:tcPr>
                  <w:tcW w:w="1902" w:type="pct"/>
                  <w:shd w:val="pct5" w:color="auto" w:fill="auto"/>
                </w:tcPr>
                <w:p w14:paraId="4A72FE2E" w14:textId="77777777" w:rsidR="00AA4CBA" w:rsidRPr="00A74BAE" w:rsidRDefault="00AA4CBA" w:rsidP="00AA4CBA">
                  <w:pPr>
                    <w:jc w:val="center"/>
                    <w:rPr>
                      <w:b/>
                      <w:bCs/>
                      <w:sz w:val="22"/>
                      <w:szCs w:val="22"/>
                      <w:lang w:val="lv-LV"/>
                    </w:rPr>
                  </w:pPr>
                  <w:r w:rsidRPr="00A74BAE">
                    <w:rPr>
                      <w:b/>
                      <w:bCs/>
                      <w:sz w:val="22"/>
                      <w:szCs w:val="22"/>
                      <w:lang w:val="lv-LV"/>
                    </w:rPr>
                    <w:t>Pretendents</w:t>
                  </w:r>
                </w:p>
              </w:tc>
              <w:tc>
                <w:tcPr>
                  <w:tcW w:w="1302" w:type="pct"/>
                  <w:shd w:val="pct5" w:color="auto" w:fill="auto"/>
                </w:tcPr>
                <w:p w14:paraId="388E114A" w14:textId="77777777" w:rsidR="00AA4CBA" w:rsidRPr="00A74BAE" w:rsidRDefault="00AA4CBA" w:rsidP="00AA4CBA">
                  <w:pPr>
                    <w:jc w:val="center"/>
                    <w:rPr>
                      <w:b/>
                      <w:bCs/>
                      <w:sz w:val="22"/>
                      <w:szCs w:val="22"/>
                      <w:lang w:val="lv-LV"/>
                    </w:rPr>
                  </w:pPr>
                  <w:r w:rsidRPr="00A74BAE">
                    <w:rPr>
                      <w:b/>
                      <w:bCs/>
                      <w:sz w:val="22"/>
                      <w:szCs w:val="22"/>
                      <w:lang w:val="lv-LV"/>
                    </w:rPr>
                    <w:t>Līgumcena (apdrošināšanas prēmija) 48 mēnešu periodam EUR bez PVN</w:t>
                  </w:r>
                </w:p>
              </w:tc>
              <w:tc>
                <w:tcPr>
                  <w:tcW w:w="1450" w:type="pct"/>
                  <w:shd w:val="pct5" w:color="auto" w:fill="auto"/>
                </w:tcPr>
                <w:p w14:paraId="3D3A27EA" w14:textId="77777777" w:rsidR="00AA4CBA" w:rsidRPr="00A74BAE" w:rsidRDefault="00AA4CBA" w:rsidP="00AA4CBA">
                  <w:pPr>
                    <w:jc w:val="center"/>
                    <w:rPr>
                      <w:b/>
                      <w:bCs/>
                      <w:sz w:val="22"/>
                      <w:szCs w:val="22"/>
                      <w:lang w:val="lv-LV"/>
                    </w:rPr>
                  </w:pPr>
                  <w:r w:rsidRPr="00A74BAE">
                    <w:rPr>
                      <w:b/>
                      <w:bCs/>
                      <w:sz w:val="22"/>
                      <w:szCs w:val="22"/>
                      <w:lang w:val="lv-LV"/>
                    </w:rPr>
                    <w:t>Piedāvājuma iesniegšanas datums un laiks</w:t>
                  </w:r>
                </w:p>
              </w:tc>
            </w:tr>
            <w:tr w:rsidR="00AA4CBA" w:rsidRPr="00A74BAE" w14:paraId="2215A499" w14:textId="77777777" w:rsidTr="00482970">
              <w:tc>
                <w:tcPr>
                  <w:tcW w:w="346" w:type="pct"/>
                  <w:shd w:val="clear" w:color="auto" w:fill="auto"/>
                </w:tcPr>
                <w:p w14:paraId="2FD6B942" w14:textId="77777777" w:rsidR="00AA4CBA" w:rsidRPr="00A74BAE" w:rsidRDefault="00AA4CBA" w:rsidP="00AA4CBA">
                  <w:pPr>
                    <w:jc w:val="both"/>
                    <w:rPr>
                      <w:bCs/>
                      <w:sz w:val="22"/>
                      <w:szCs w:val="22"/>
                      <w:lang w:val="lv-LV"/>
                    </w:rPr>
                  </w:pPr>
                  <w:r w:rsidRPr="00A74BAE">
                    <w:rPr>
                      <w:bCs/>
                      <w:sz w:val="22"/>
                      <w:szCs w:val="22"/>
                      <w:lang w:val="lv-LV"/>
                    </w:rPr>
                    <w:t>1.</w:t>
                  </w:r>
                </w:p>
              </w:tc>
              <w:tc>
                <w:tcPr>
                  <w:tcW w:w="1902" w:type="pct"/>
                  <w:shd w:val="clear" w:color="auto" w:fill="auto"/>
                </w:tcPr>
                <w:p w14:paraId="5B8DF3DD" w14:textId="77777777" w:rsidR="00AA4CBA" w:rsidRPr="00A74BAE" w:rsidRDefault="00AA4CBA" w:rsidP="00AA4CBA">
                  <w:pPr>
                    <w:rPr>
                      <w:b/>
                      <w:bCs/>
                      <w:sz w:val="22"/>
                      <w:szCs w:val="22"/>
                      <w:lang w:val="lv-LV"/>
                    </w:rPr>
                  </w:pPr>
                  <w:proofErr w:type="spellStart"/>
                  <w:r w:rsidRPr="00A74BAE">
                    <w:rPr>
                      <w:b/>
                      <w:bCs/>
                      <w:sz w:val="22"/>
                      <w:szCs w:val="22"/>
                      <w:lang w:val="lv-LV"/>
                    </w:rPr>
                    <w:t>Balcia</w:t>
                  </w:r>
                  <w:proofErr w:type="spellEnd"/>
                  <w:r w:rsidRPr="00A74BAE">
                    <w:rPr>
                      <w:b/>
                      <w:bCs/>
                      <w:sz w:val="22"/>
                      <w:szCs w:val="22"/>
                      <w:lang w:val="lv-LV"/>
                    </w:rPr>
                    <w:t xml:space="preserve"> Insurance SE</w:t>
                  </w:r>
                </w:p>
              </w:tc>
              <w:tc>
                <w:tcPr>
                  <w:tcW w:w="1302" w:type="pct"/>
                  <w:shd w:val="clear" w:color="auto" w:fill="auto"/>
                </w:tcPr>
                <w:p w14:paraId="6FD14BC9" w14:textId="77777777" w:rsidR="00AA4CBA" w:rsidRPr="00A74BAE" w:rsidRDefault="00AA4CBA" w:rsidP="00AA4CBA">
                  <w:pPr>
                    <w:jc w:val="both"/>
                    <w:rPr>
                      <w:bCs/>
                      <w:sz w:val="22"/>
                      <w:szCs w:val="22"/>
                      <w:lang w:val="lv-LV"/>
                    </w:rPr>
                  </w:pPr>
                  <w:r w:rsidRPr="00A74BAE">
                    <w:rPr>
                      <w:sz w:val="22"/>
                      <w:szCs w:val="22"/>
                      <w:lang w:val="lv-LV"/>
                    </w:rPr>
                    <w:t>EUR 99902.88</w:t>
                  </w:r>
                </w:p>
              </w:tc>
              <w:tc>
                <w:tcPr>
                  <w:tcW w:w="1450" w:type="pct"/>
                  <w:shd w:val="clear" w:color="auto" w:fill="auto"/>
                </w:tcPr>
                <w:p w14:paraId="4B554A71" w14:textId="77777777" w:rsidR="00AA4CBA" w:rsidRPr="00A74BAE" w:rsidRDefault="00AA4CBA" w:rsidP="00AA4CBA">
                  <w:pPr>
                    <w:jc w:val="both"/>
                    <w:rPr>
                      <w:bCs/>
                      <w:sz w:val="22"/>
                      <w:szCs w:val="22"/>
                      <w:lang w:val="lv-LV"/>
                    </w:rPr>
                  </w:pPr>
                  <w:r w:rsidRPr="00A74BAE">
                    <w:rPr>
                      <w:bCs/>
                      <w:sz w:val="22"/>
                      <w:szCs w:val="22"/>
                      <w:lang w:val="lv-LV"/>
                    </w:rPr>
                    <w:t>08.05.2023 plkst. 14:41</w:t>
                  </w:r>
                </w:p>
              </w:tc>
            </w:tr>
            <w:tr w:rsidR="00AA4CBA" w:rsidRPr="00A74BAE" w14:paraId="1E54A5F2" w14:textId="77777777" w:rsidTr="00482970">
              <w:trPr>
                <w:trHeight w:val="257"/>
              </w:trPr>
              <w:tc>
                <w:tcPr>
                  <w:tcW w:w="346" w:type="pct"/>
                  <w:shd w:val="clear" w:color="auto" w:fill="auto"/>
                </w:tcPr>
                <w:p w14:paraId="3358495D" w14:textId="77777777" w:rsidR="00AA4CBA" w:rsidRPr="00A74BAE" w:rsidRDefault="00AA4CBA" w:rsidP="00AA4CBA">
                  <w:pPr>
                    <w:jc w:val="both"/>
                    <w:rPr>
                      <w:bCs/>
                      <w:sz w:val="22"/>
                      <w:szCs w:val="22"/>
                      <w:lang w:val="lv-LV"/>
                    </w:rPr>
                  </w:pPr>
                  <w:r w:rsidRPr="00A74BAE">
                    <w:rPr>
                      <w:bCs/>
                      <w:sz w:val="22"/>
                      <w:szCs w:val="22"/>
                      <w:lang w:val="lv-LV"/>
                    </w:rPr>
                    <w:t>2.</w:t>
                  </w:r>
                </w:p>
              </w:tc>
              <w:tc>
                <w:tcPr>
                  <w:tcW w:w="1902" w:type="pct"/>
                  <w:shd w:val="clear" w:color="auto" w:fill="auto"/>
                </w:tcPr>
                <w:p w14:paraId="5D034F13" w14:textId="77777777" w:rsidR="00AA4CBA" w:rsidRPr="00A74BAE" w:rsidRDefault="00AA4CBA" w:rsidP="00AA4CBA">
                  <w:pPr>
                    <w:rPr>
                      <w:b/>
                      <w:bCs/>
                      <w:sz w:val="22"/>
                      <w:szCs w:val="22"/>
                      <w:lang w:val="lv-LV"/>
                    </w:rPr>
                  </w:pPr>
                  <w:proofErr w:type="spellStart"/>
                  <w:r w:rsidRPr="00A74BAE">
                    <w:rPr>
                      <w:b/>
                      <w:bCs/>
                      <w:sz w:val="22"/>
                      <w:szCs w:val="22"/>
                      <w:lang w:val="lv-LV"/>
                    </w:rPr>
                    <w:t>Compensa</w:t>
                  </w:r>
                  <w:proofErr w:type="spellEnd"/>
                  <w:r w:rsidRPr="00A74BAE">
                    <w:rPr>
                      <w:b/>
                      <w:bCs/>
                      <w:sz w:val="22"/>
                      <w:szCs w:val="22"/>
                      <w:lang w:val="lv-LV"/>
                    </w:rPr>
                    <w:t xml:space="preserve"> </w:t>
                  </w:r>
                  <w:proofErr w:type="spellStart"/>
                  <w:r w:rsidRPr="00A74BAE">
                    <w:rPr>
                      <w:b/>
                      <w:bCs/>
                      <w:sz w:val="22"/>
                      <w:szCs w:val="22"/>
                      <w:lang w:val="lv-LV"/>
                    </w:rPr>
                    <w:t>Vienna</w:t>
                  </w:r>
                  <w:proofErr w:type="spellEnd"/>
                  <w:r w:rsidRPr="00A74BAE">
                    <w:rPr>
                      <w:b/>
                      <w:bCs/>
                      <w:sz w:val="22"/>
                      <w:szCs w:val="22"/>
                      <w:lang w:val="lv-LV"/>
                    </w:rPr>
                    <w:t xml:space="preserve"> Insurance </w:t>
                  </w:r>
                  <w:proofErr w:type="spellStart"/>
                  <w:r w:rsidRPr="00A74BAE">
                    <w:rPr>
                      <w:b/>
                      <w:bCs/>
                      <w:sz w:val="22"/>
                      <w:szCs w:val="22"/>
                      <w:lang w:val="lv-LV"/>
                    </w:rPr>
                    <w:t>Group</w:t>
                  </w:r>
                  <w:proofErr w:type="spellEnd"/>
                  <w:r w:rsidRPr="00A74BAE">
                    <w:rPr>
                      <w:b/>
                      <w:bCs/>
                      <w:sz w:val="22"/>
                      <w:szCs w:val="22"/>
                      <w:lang w:val="lv-LV"/>
                    </w:rPr>
                    <w:t xml:space="preserve"> ADB Latvijas filiāle</w:t>
                  </w:r>
                </w:p>
              </w:tc>
              <w:tc>
                <w:tcPr>
                  <w:tcW w:w="1302" w:type="pct"/>
                  <w:shd w:val="clear" w:color="auto" w:fill="auto"/>
                </w:tcPr>
                <w:p w14:paraId="62FD6105" w14:textId="77777777" w:rsidR="00AA4CBA" w:rsidRPr="00A74BAE" w:rsidRDefault="00AA4CBA" w:rsidP="00AA4CBA">
                  <w:pPr>
                    <w:jc w:val="both"/>
                    <w:rPr>
                      <w:bCs/>
                      <w:sz w:val="22"/>
                      <w:szCs w:val="22"/>
                      <w:lang w:val="lv-LV"/>
                    </w:rPr>
                  </w:pPr>
                  <w:r w:rsidRPr="00A74BAE">
                    <w:rPr>
                      <w:bCs/>
                      <w:sz w:val="22"/>
                      <w:szCs w:val="22"/>
                      <w:lang w:val="lv-LV"/>
                    </w:rPr>
                    <w:t>EUR 89782.00</w:t>
                  </w:r>
                </w:p>
              </w:tc>
              <w:tc>
                <w:tcPr>
                  <w:tcW w:w="1450" w:type="pct"/>
                  <w:shd w:val="clear" w:color="auto" w:fill="auto"/>
                </w:tcPr>
                <w:p w14:paraId="2D7FE3D8" w14:textId="77777777" w:rsidR="00AA4CBA" w:rsidRPr="00A74BAE" w:rsidRDefault="00AA4CBA" w:rsidP="00AA4CBA">
                  <w:pPr>
                    <w:jc w:val="both"/>
                    <w:rPr>
                      <w:bCs/>
                      <w:sz w:val="22"/>
                      <w:szCs w:val="22"/>
                      <w:lang w:val="lv-LV"/>
                    </w:rPr>
                  </w:pPr>
                  <w:r w:rsidRPr="00A74BAE">
                    <w:rPr>
                      <w:bCs/>
                      <w:sz w:val="22"/>
                      <w:szCs w:val="22"/>
                      <w:lang w:val="lv-LV"/>
                    </w:rPr>
                    <w:t>10.05.2023 plkst. 08:42</w:t>
                  </w:r>
                </w:p>
              </w:tc>
            </w:tr>
          </w:tbl>
          <w:p w14:paraId="779C394A" w14:textId="77777777" w:rsidR="00480BB1" w:rsidRPr="00A74BAE" w:rsidRDefault="00480BB1" w:rsidP="00480BB1">
            <w:pPr>
              <w:spacing w:before="60" w:after="60"/>
              <w:jc w:val="both"/>
              <w:rPr>
                <w:color w:val="FF0000"/>
                <w:lang w:val="lv-LV"/>
              </w:rPr>
            </w:pPr>
          </w:p>
        </w:tc>
      </w:tr>
      <w:tr w:rsidR="007C5F7D" w:rsidRPr="00A74BAE" w14:paraId="3735B94B" w14:textId="77777777" w:rsidTr="00480BB1">
        <w:tc>
          <w:tcPr>
            <w:tcW w:w="3510" w:type="dxa"/>
          </w:tcPr>
          <w:p w14:paraId="2669963D" w14:textId="5A8F497D" w:rsidR="007C5F7D" w:rsidRPr="00A74BAE" w:rsidRDefault="007C5F7D" w:rsidP="007C5F7D">
            <w:pPr>
              <w:spacing w:before="60" w:after="60"/>
              <w:jc w:val="both"/>
              <w:rPr>
                <w:lang w:val="lv-LV"/>
              </w:rPr>
            </w:pPr>
            <w:r w:rsidRPr="00A74BAE">
              <w:rPr>
                <w:lang w:val="lv-LV"/>
              </w:rPr>
              <w:t>Piedāvājumu atvēršanas vieta, datums un laiks</w:t>
            </w:r>
          </w:p>
        </w:tc>
        <w:tc>
          <w:tcPr>
            <w:tcW w:w="6663" w:type="dxa"/>
          </w:tcPr>
          <w:p w14:paraId="3BB55975" w14:textId="4603300E" w:rsidR="007C5F7D" w:rsidRPr="00A74BAE" w:rsidRDefault="007C5F7D" w:rsidP="007C5F7D">
            <w:pPr>
              <w:jc w:val="both"/>
              <w:rPr>
                <w:b/>
                <w:bCs/>
                <w:sz w:val="22"/>
                <w:szCs w:val="22"/>
                <w:lang w:val="lv-LV"/>
              </w:rPr>
            </w:pPr>
            <w:r w:rsidRPr="00A74BAE">
              <w:rPr>
                <w:lang w:val="lv-LV"/>
              </w:rPr>
              <w:t>Valsts reģionālās attīstības aģentūras Elektronisko iepirkumu sistēmas e-konkursu apakšsistēmas tīmekļvietnē www.eis.gov.lv 10.05.2023. plkst. 13.00.</w:t>
            </w:r>
          </w:p>
        </w:tc>
      </w:tr>
      <w:tr w:rsidR="007C5F7D" w:rsidRPr="00A74BAE" w14:paraId="3CEE1D1E" w14:textId="77777777" w:rsidTr="00480BB1">
        <w:tc>
          <w:tcPr>
            <w:tcW w:w="3510" w:type="dxa"/>
          </w:tcPr>
          <w:p w14:paraId="74BEB597" w14:textId="0357554B" w:rsidR="007C5F7D" w:rsidRPr="00A74BAE" w:rsidRDefault="007C5F7D" w:rsidP="007C5F7D">
            <w:pPr>
              <w:spacing w:before="60" w:after="60"/>
              <w:jc w:val="both"/>
              <w:rPr>
                <w:lang w:val="lv-LV"/>
              </w:rPr>
            </w:pPr>
            <w:r w:rsidRPr="00A74BAE">
              <w:rPr>
                <w:lang w:val="lv-LV"/>
              </w:rPr>
              <w:t>Piedāvājumu noformēšanas un iesniegšanas nosacījumu pārbaudes un pretendentu kvalifikācijas dokumentu un tehniskās specifikācijas atbilstības pārbaude</w:t>
            </w:r>
          </w:p>
        </w:tc>
        <w:tc>
          <w:tcPr>
            <w:tcW w:w="6663" w:type="dxa"/>
          </w:tcPr>
          <w:p w14:paraId="53494522" w14:textId="486FC74E" w:rsidR="007C5F7D" w:rsidRPr="00A74BAE" w:rsidRDefault="007C5F7D" w:rsidP="007C5F7D">
            <w:pPr>
              <w:jc w:val="both"/>
              <w:rPr>
                <w:b/>
                <w:bCs/>
                <w:sz w:val="22"/>
                <w:szCs w:val="22"/>
                <w:lang w:val="lv-LV"/>
              </w:rPr>
            </w:pPr>
            <w:r w:rsidRPr="00A74BAE">
              <w:rPr>
                <w:lang w:val="lv-LV"/>
              </w:rPr>
              <w:t xml:space="preserve">Visu pretendentu, t.i. 1) </w:t>
            </w:r>
            <w:proofErr w:type="spellStart"/>
            <w:r w:rsidRPr="00A74BAE">
              <w:rPr>
                <w:lang w:val="lv-LV"/>
              </w:rPr>
              <w:t>Balcia</w:t>
            </w:r>
            <w:proofErr w:type="spellEnd"/>
            <w:r w:rsidRPr="00A74BAE">
              <w:rPr>
                <w:lang w:val="lv-LV"/>
              </w:rPr>
              <w:t xml:space="preserve"> Insurance SE; 2) </w:t>
            </w:r>
            <w:proofErr w:type="spellStart"/>
            <w:r w:rsidRPr="00A74BAE">
              <w:rPr>
                <w:lang w:val="lv-LV"/>
              </w:rPr>
              <w:t>Compensa</w:t>
            </w:r>
            <w:proofErr w:type="spellEnd"/>
            <w:r w:rsidRPr="00A74BAE">
              <w:rPr>
                <w:lang w:val="lv-LV"/>
              </w:rPr>
              <w:t xml:space="preserve"> </w:t>
            </w:r>
            <w:proofErr w:type="spellStart"/>
            <w:r w:rsidRPr="00A74BAE">
              <w:rPr>
                <w:lang w:val="lv-LV"/>
              </w:rPr>
              <w:t>Vienna</w:t>
            </w:r>
            <w:proofErr w:type="spellEnd"/>
            <w:r w:rsidRPr="00A74BAE">
              <w:rPr>
                <w:lang w:val="lv-LV"/>
              </w:rPr>
              <w:t xml:space="preserve"> Insurance </w:t>
            </w:r>
            <w:proofErr w:type="spellStart"/>
            <w:r w:rsidRPr="00A74BAE">
              <w:rPr>
                <w:lang w:val="lv-LV"/>
              </w:rPr>
              <w:t>Group</w:t>
            </w:r>
            <w:proofErr w:type="spellEnd"/>
            <w:r w:rsidRPr="00A74BAE">
              <w:rPr>
                <w:lang w:val="lv-LV"/>
              </w:rPr>
              <w:t xml:space="preserve"> ADB Latvijas filiāle, iesniegtie piedāvājumi atbilst Nolikumā noteiktajām noformēšanas un iesniegšanas nosacījumu prasībām. Pretendentu tehniskie piedāvājumi atbilst tehniskās specifikācijas prasībām.</w:t>
            </w:r>
          </w:p>
        </w:tc>
      </w:tr>
      <w:tr w:rsidR="007C5F7D" w:rsidRPr="00A74BAE" w14:paraId="5E144227" w14:textId="77777777" w:rsidTr="00480BB1">
        <w:tc>
          <w:tcPr>
            <w:tcW w:w="3510" w:type="dxa"/>
          </w:tcPr>
          <w:p w14:paraId="646E7A46" w14:textId="032DFD53" w:rsidR="007C5F7D" w:rsidRPr="00A74BAE" w:rsidRDefault="007C5F7D" w:rsidP="007C5F7D">
            <w:pPr>
              <w:spacing w:before="60" w:after="60"/>
              <w:jc w:val="both"/>
              <w:rPr>
                <w:lang w:val="lv-LV"/>
              </w:rPr>
            </w:pPr>
            <w:r w:rsidRPr="00A74BAE">
              <w:rPr>
                <w:lang w:val="lv-LV"/>
              </w:rPr>
              <w:t>Finanšu piedāvājuma un aritmētisko kļūdu pārbaude, veiktie labojumi un pretendentu piedāvātās cenas</w:t>
            </w:r>
          </w:p>
        </w:tc>
        <w:tc>
          <w:tcPr>
            <w:tcW w:w="6663" w:type="dxa"/>
          </w:tcPr>
          <w:p w14:paraId="165C0FC7" w14:textId="77777777" w:rsidR="007C5F7D" w:rsidRPr="00A74BAE" w:rsidRDefault="007C5F7D" w:rsidP="007C5F7D">
            <w:pPr>
              <w:tabs>
                <w:tab w:val="left" w:pos="851"/>
              </w:tabs>
              <w:contextualSpacing/>
              <w:jc w:val="both"/>
              <w:rPr>
                <w:lang w:val="lv-LV"/>
              </w:rPr>
            </w:pPr>
            <w:r w:rsidRPr="00A74BAE">
              <w:rPr>
                <w:lang w:val="lv-LV"/>
              </w:rPr>
              <w:t>Komisija veica pretendentu iesniegto finanšu piedāvājumu pārbaudi un secināja, ka pretendentu finanšu piedāvājumi nav nepamatoti lēti, tajos nav aritmētisko kļūdu.</w:t>
            </w:r>
          </w:p>
          <w:p w14:paraId="7D55C284" w14:textId="64D608BB" w:rsidR="007C5F7D" w:rsidRPr="00A74BAE" w:rsidRDefault="007C5F7D" w:rsidP="007C5F7D">
            <w:pPr>
              <w:jc w:val="both"/>
              <w:rPr>
                <w:lang w:val="lv-LV"/>
              </w:rPr>
            </w:pPr>
            <w:r w:rsidRPr="00A74BAE">
              <w:rPr>
                <w:lang w:val="lv-LV"/>
              </w:rPr>
              <w:t xml:space="preserve">Komisija konstatēja, ka Pretendentu finanšu piedāvājumu summas 48 (četrdesmit astoņu) mēnešu periodam 1) </w:t>
            </w:r>
            <w:proofErr w:type="spellStart"/>
            <w:r w:rsidRPr="00A74BAE">
              <w:rPr>
                <w:lang w:val="lv-LV"/>
              </w:rPr>
              <w:t>Balcia</w:t>
            </w:r>
            <w:proofErr w:type="spellEnd"/>
            <w:r w:rsidRPr="00A74BAE">
              <w:rPr>
                <w:lang w:val="lv-LV"/>
              </w:rPr>
              <w:t xml:space="preserve"> Insurance SE – 99902,88 EUR; 2) </w:t>
            </w:r>
            <w:proofErr w:type="spellStart"/>
            <w:r w:rsidRPr="00A74BAE">
              <w:rPr>
                <w:lang w:val="lv-LV"/>
              </w:rPr>
              <w:t>Compensa</w:t>
            </w:r>
            <w:proofErr w:type="spellEnd"/>
            <w:r w:rsidRPr="00A74BAE">
              <w:rPr>
                <w:lang w:val="lv-LV"/>
              </w:rPr>
              <w:t xml:space="preserve"> </w:t>
            </w:r>
            <w:proofErr w:type="spellStart"/>
            <w:r w:rsidRPr="00A74BAE">
              <w:rPr>
                <w:lang w:val="lv-LV"/>
              </w:rPr>
              <w:t>Vienna</w:t>
            </w:r>
            <w:proofErr w:type="spellEnd"/>
            <w:r w:rsidRPr="00A74BAE">
              <w:rPr>
                <w:lang w:val="lv-LV"/>
              </w:rPr>
              <w:t xml:space="preserve"> Insurance </w:t>
            </w:r>
            <w:proofErr w:type="spellStart"/>
            <w:r w:rsidRPr="00A74BAE">
              <w:rPr>
                <w:lang w:val="lv-LV"/>
              </w:rPr>
              <w:t>Group</w:t>
            </w:r>
            <w:proofErr w:type="spellEnd"/>
            <w:r w:rsidRPr="00A74BAE">
              <w:rPr>
                <w:lang w:val="lv-LV"/>
              </w:rPr>
              <w:t xml:space="preserve"> ADB Latvijas filiāle – 89782,00 EUR, kas nepārsniedz Nolikuma 3.3.punktā noteikto paredzamo līgumcenu 48 (četrdesmit astoņu) mēnešu periodam līdz 102 842,00 (viens simts divi tūkstoši astoņi simti četrdesmit divi </w:t>
            </w:r>
            <w:proofErr w:type="spellStart"/>
            <w:r w:rsidRPr="00A74BAE">
              <w:rPr>
                <w:lang w:val="lv-LV"/>
              </w:rPr>
              <w:t>euro</w:t>
            </w:r>
            <w:proofErr w:type="spellEnd"/>
            <w:r w:rsidRPr="00A74BAE">
              <w:rPr>
                <w:lang w:val="lv-LV"/>
              </w:rPr>
              <w:t>, 00 centi) bez pievienotās vērtības nodokļa (turpmāk – PVN), kas noteikta kā piedāvājuma atbilstības prasība.</w:t>
            </w:r>
          </w:p>
        </w:tc>
      </w:tr>
    </w:tbl>
    <w:p w14:paraId="43F6EC9B" w14:textId="77777777" w:rsidR="009879CC" w:rsidRPr="00A74BAE" w:rsidRDefault="009879CC" w:rsidP="00233F11">
      <w:pPr>
        <w:spacing w:before="60" w:after="60"/>
        <w:jc w:val="both"/>
        <w:rPr>
          <w:lang w:val="lv-LV"/>
        </w:rPr>
        <w:sectPr w:rsidR="009879CC" w:rsidRPr="00A74BAE" w:rsidSect="000E7593">
          <w:footerReference w:type="default" r:id="rId9"/>
          <w:pgSz w:w="11906" w:h="16838"/>
          <w:pgMar w:top="851" w:right="1134" w:bottom="1134" w:left="1276" w:header="709" w:footer="709" w:gutter="0"/>
          <w:cols w:space="708"/>
          <w:docGrid w:linePitch="360"/>
        </w:sectPr>
      </w:pPr>
    </w:p>
    <w:tbl>
      <w:tblPr>
        <w:tblStyle w:val="Reatabula"/>
        <w:tblW w:w="14283" w:type="dxa"/>
        <w:tblLayout w:type="fixed"/>
        <w:tblLook w:val="04A0" w:firstRow="1" w:lastRow="0" w:firstColumn="1" w:lastColumn="0" w:noHBand="0" w:noVBand="1"/>
      </w:tblPr>
      <w:tblGrid>
        <w:gridCol w:w="3510"/>
        <w:gridCol w:w="1346"/>
        <w:gridCol w:w="4856"/>
        <w:gridCol w:w="4571"/>
      </w:tblGrid>
      <w:tr w:rsidR="007C5F7D" w:rsidRPr="00A74BAE" w14:paraId="0F89EB0A" w14:textId="77777777" w:rsidTr="00A74BAE">
        <w:trPr>
          <w:trHeight w:val="7357"/>
        </w:trPr>
        <w:tc>
          <w:tcPr>
            <w:tcW w:w="3510" w:type="dxa"/>
          </w:tcPr>
          <w:p w14:paraId="3BF5DF8A" w14:textId="77777777" w:rsidR="007C5F7D" w:rsidRPr="00A74BAE" w:rsidRDefault="007C5F7D" w:rsidP="007C5F7D">
            <w:pPr>
              <w:spacing w:before="60" w:after="60"/>
              <w:jc w:val="both"/>
              <w:rPr>
                <w:lang w:val="lv-LV"/>
              </w:rPr>
            </w:pPr>
            <w:r w:rsidRPr="00A74BAE">
              <w:rPr>
                <w:lang w:val="lv-LV"/>
              </w:rPr>
              <w:lastRenderedPageBreak/>
              <w:t>Tā pretendenta nosaukums, kuram piešķirtas iepirkuma līguma slēgšanas tiesības, piedāvātā līgumcena, kā arī piedāvājuma izvēles pamatojums.</w:t>
            </w:r>
          </w:p>
        </w:tc>
        <w:tc>
          <w:tcPr>
            <w:tcW w:w="10773" w:type="dxa"/>
            <w:gridSpan w:val="3"/>
          </w:tcPr>
          <w:p w14:paraId="2788487A" w14:textId="67F2DB5E" w:rsidR="007C5F7D" w:rsidRPr="00A74BAE" w:rsidRDefault="007C5F7D" w:rsidP="007C5F7D">
            <w:pPr>
              <w:ind w:right="458"/>
              <w:jc w:val="both"/>
              <w:rPr>
                <w:lang w:val="lv-LV"/>
              </w:rPr>
            </w:pPr>
            <w:r w:rsidRPr="00A74BAE">
              <w:rPr>
                <w:lang w:val="lv-LV"/>
              </w:rPr>
              <w:t xml:space="preserve">Komisija </w:t>
            </w:r>
            <w:r w:rsidRPr="00A74BAE">
              <w:rPr>
                <w:lang w:val="lv-LV"/>
              </w:rPr>
              <w:t xml:space="preserve">pieņēma lēmumu </w:t>
            </w:r>
            <w:r w:rsidRPr="00A74BAE">
              <w:rPr>
                <w:lang w:val="lv-LV"/>
              </w:rPr>
              <w:t>līgum</w:t>
            </w:r>
            <w:r w:rsidRPr="00A74BAE">
              <w:rPr>
                <w:lang w:val="lv-LV"/>
              </w:rPr>
              <w:t>a</w:t>
            </w:r>
            <w:r w:rsidRPr="00A74BAE">
              <w:rPr>
                <w:lang w:val="lv-LV"/>
              </w:rPr>
              <w:t xml:space="preserve"> slēgšanas tiesības piešķir</w:t>
            </w:r>
            <w:r w:rsidRPr="00A74BAE">
              <w:rPr>
                <w:lang w:val="lv-LV"/>
              </w:rPr>
              <w:t>t</w:t>
            </w:r>
            <w:r w:rsidRPr="00A74BAE">
              <w:rPr>
                <w:lang w:val="lv-LV"/>
              </w:rPr>
              <w:t xml:space="preserve"> pretendentam </w:t>
            </w:r>
            <w:proofErr w:type="spellStart"/>
            <w:r w:rsidRPr="00A74BAE">
              <w:rPr>
                <w:b/>
                <w:bCs/>
                <w:lang w:val="lv-LV"/>
              </w:rPr>
              <w:t>Compensa</w:t>
            </w:r>
            <w:proofErr w:type="spellEnd"/>
            <w:r w:rsidRPr="00A74BAE">
              <w:rPr>
                <w:b/>
                <w:bCs/>
                <w:lang w:val="lv-LV"/>
              </w:rPr>
              <w:t xml:space="preserve"> </w:t>
            </w:r>
            <w:proofErr w:type="spellStart"/>
            <w:r w:rsidRPr="00A74BAE">
              <w:rPr>
                <w:b/>
                <w:bCs/>
                <w:lang w:val="lv-LV"/>
              </w:rPr>
              <w:t>Vienna</w:t>
            </w:r>
            <w:proofErr w:type="spellEnd"/>
            <w:r w:rsidRPr="00A74BAE">
              <w:rPr>
                <w:b/>
                <w:bCs/>
                <w:lang w:val="lv-LV"/>
              </w:rPr>
              <w:t xml:space="preserve"> Insurance </w:t>
            </w:r>
            <w:proofErr w:type="spellStart"/>
            <w:r w:rsidRPr="00A74BAE">
              <w:rPr>
                <w:b/>
                <w:bCs/>
                <w:lang w:val="lv-LV"/>
              </w:rPr>
              <w:t>Group</w:t>
            </w:r>
            <w:proofErr w:type="spellEnd"/>
            <w:r w:rsidRPr="00A74BAE">
              <w:rPr>
                <w:b/>
                <w:bCs/>
                <w:lang w:val="lv-LV"/>
              </w:rPr>
              <w:t xml:space="preserve"> ADB Latvijas filiāle</w:t>
            </w:r>
            <w:r w:rsidRPr="00A74BAE">
              <w:rPr>
                <w:lang w:val="lv-LV"/>
              </w:rPr>
              <w:t xml:space="preserve">, kurš kopvērtējumā (V) ieguvis visvairāk punktu – </w:t>
            </w:r>
            <w:r w:rsidRPr="00A74BAE">
              <w:rPr>
                <w:b/>
                <w:bCs/>
                <w:lang w:val="lv-LV"/>
              </w:rPr>
              <w:t>95,71 punkts</w:t>
            </w:r>
            <w:r w:rsidRPr="00A74BAE">
              <w:rPr>
                <w:lang w:val="lv-LV"/>
              </w:rPr>
              <w:t>, saskaitot visos kritērijos iegūtos punktus saskaņā ar formulu: V = P+C</w:t>
            </w:r>
            <w:r w:rsidRPr="00A74BAE">
              <w:rPr>
                <w:lang w:val="lv-LV"/>
              </w:rPr>
              <w:t xml:space="preserve"> un uz kuru nav attiecināmi </w:t>
            </w:r>
            <w:r w:rsidRPr="00A74BAE">
              <w:rPr>
                <w:lang w:val="lv-LV"/>
              </w:rPr>
              <w:t>Publisko iepirkuma likuma</w:t>
            </w:r>
            <w:r w:rsidRPr="00A74BAE">
              <w:rPr>
                <w:lang w:val="lv-LV"/>
              </w:rPr>
              <w:t xml:space="preserve"> </w:t>
            </w:r>
            <w:r w:rsidRPr="00A74BAE">
              <w:rPr>
                <w:lang w:val="lv-LV"/>
              </w:rPr>
              <w:t>42. panta otrajā daļā minētie izslēgšanas gadījumi</w:t>
            </w:r>
            <w:r w:rsidRPr="00A74BAE">
              <w:rPr>
                <w:lang w:val="lv-LV"/>
              </w:rPr>
              <w:t>.</w:t>
            </w:r>
          </w:p>
          <w:p w14:paraId="7180479F" w14:textId="6AD69337" w:rsidR="007C5F7D" w:rsidRPr="00A74BAE" w:rsidRDefault="007C5F7D" w:rsidP="007C5F7D">
            <w:pPr>
              <w:ind w:right="458"/>
              <w:jc w:val="both"/>
              <w:rPr>
                <w:lang w:val="lv-LV"/>
              </w:rPr>
            </w:pPr>
            <w:r w:rsidRPr="00A74BAE">
              <w:rPr>
                <w:lang w:val="lv-LV"/>
              </w:rPr>
              <w:t>Saimnieciski visizdevīgākā piedāvājuma vērtējuma kopsavilkums</w:t>
            </w:r>
            <w:r w:rsidRPr="00A74BAE">
              <w:rPr>
                <w:lang w:val="lv-LV"/>
              </w:rPr>
              <w:t>.</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4083"/>
              <w:gridCol w:w="1535"/>
              <w:gridCol w:w="1838"/>
              <w:gridCol w:w="1836"/>
            </w:tblGrid>
            <w:tr w:rsidR="007C5F7D" w:rsidRPr="00A74BAE" w14:paraId="452A6BA2" w14:textId="77777777" w:rsidTr="00482970">
              <w:trPr>
                <w:cantSplit/>
                <w:trHeight w:val="356"/>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5A69F877" w14:textId="77777777" w:rsidR="007C5F7D" w:rsidRPr="00A74BAE" w:rsidRDefault="007C5F7D" w:rsidP="007C5F7D">
                  <w:pPr>
                    <w:jc w:val="center"/>
                    <w:rPr>
                      <w:rFonts w:eastAsia="Calibri"/>
                      <w:color w:val="000000"/>
                      <w:szCs w:val="26"/>
                      <w:lang w:val="lv-LV" w:eastAsia="lv-LV"/>
                    </w:rPr>
                  </w:pPr>
                  <w:bookmarkStart w:id="2" w:name="_Hlk128136228"/>
                  <w:r w:rsidRPr="00A74BAE">
                    <w:rPr>
                      <w:rFonts w:eastAsia="Calibri"/>
                      <w:color w:val="000000"/>
                      <w:szCs w:val="26"/>
                      <w:lang w:val="lv-LV" w:eastAsia="lv-LV"/>
                    </w:rPr>
                    <w:t>Nr.</w:t>
                  </w:r>
                </w:p>
              </w:tc>
              <w:tc>
                <w:tcPr>
                  <w:tcW w:w="2002" w:type="pct"/>
                  <w:tcBorders>
                    <w:top w:val="single" w:sz="4" w:space="0" w:color="auto"/>
                    <w:left w:val="single" w:sz="4" w:space="0" w:color="auto"/>
                    <w:bottom w:val="single" w:sz="4" w:space="0" w:color="auto"/>
                    <w:right w:val="single" w:sz="4" w:space="0" w:color="auto"/>
                  </w:tcBorders>
                  <w:shd w:val="clear" w:color="auto" w:fill="auto"/>
                  <w:vAlign w:val="center"/>
                </w:tcPr>
                <w:p w14:paraId="2E6DC413" w14:textId="77777777" w:rsidR="007C5F7D" w:rsidRPr="00A74BAE" w:rsidRDefault="007C5F7D" w:rsidP="007C5F7D">
                  <w:pPr>
                    <w:spacing w:after="160" w:line="259" w:lineRule="auto"/>
                    <w:jc w:val="center"/>
                    <w:rPr>
                      <w:rFonts w:eastAsia="Calibri"/>
                      <w:b/>
                      <w:bCs/>
                      <w:lang w:val="lv-LV"/>
                    </w:rPr>
                  </w:pPr>
                  <w:r w:rsidRPr="00A74BAE">
                    <w:rPr>
                      <w:rFonts w:eastAsia="Calibri"/>
                      <w:b/>
                      <w:bCs/>
                      <w:lang w:val="lv-LV"/>
                    </w:rPr>
                    <w:t>Kritērija nosaukums</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407D462" w14:textId="77777777" w:rsidR="007C5F7D" w:rsidRPr="00A74BAE" w:rsidRDefault="007C5F7D" w:rsidP="007C5F7D">
                  <w:pPr>
                    <w:spacing w:after="160" w:line="259" w:lineRule="auto"/>
                    <w:jc w:val="center"/>
                    <w:rPr>
                      <w:rFonts w:eastAsia="Calibri"/>
                      <w:b/>
                      <w:bCs/>
                      <w:lang w:val="lv-LV"/>
                    </w:rPr>
                  </w:pPr>
                  <w:r w:rsidRPr="00A74BAE">
                    <w:rPr>
                      <w:rFonts w:eastAsia="Calibri"/>
                      <w:b/>
                      <w:bCs/>
                      <w:lang w:val="lv-LV"/>
                    </w:rPr>
                    <w:t>Maksimālais punktu skaits</w:t>
                  </w:r>
                </w:p>
              </w:tc>
              <w:tc>
                <w:tcPr>
                  <w:tcW w:w="902" w:type="pct"/>
                  <w:tcBorders>
                    <w:top w:val="single" w:sz="4" w:space="0" w:color="auto"/>
                    <w:left w:val="single" w:sz="4" w:space="0" w:color="auto"/>
                    <w:bottom w:val="single" w:sz="4" w:space="0" w:color="auto"/>
                    <w:right w:val="single" w:sz="4" w:space="0" w:color="auto"/>
                  </w:tcBorders>
                  <w:vAlign w:val="center"/>
                </w:tcPr>
                <w:p w14:paraId="7B6B9860" w14:textId="77777777" w:rsidR="007C5F7D" w:rsidRPr="00A74BAE" w:rsidRDefault="007C5F7D" w:rsidP="007C5F7D">
                  <w:pPr>
                    <w:spacing w:after="160" w:line="259" w:lineRule="auto"/>
                    <w:jc w:val="center"/>
                    <w:rPr>
                      <w:rFonts w:eastAsia="Calibri"/>
                      <w:b/>
                      <w:bCs/>
                      <w:lang w:val="lv-LV"/>
                    </w:rPr>
                  </w:pPr>
                  <w:proofErr w:type="spellStart"/>
                  <w:r w:rsidRPr="00A74BAE">
                    <w:rPr>
                      <w:rFonts w:eastAsia="Calibri"/>
                      <w:b/>
                      <w:bCs/>
                      <w:lang w:val="lv-LV"/>
                    </w:rPr>
                    <w:t>Balcia</w:t>
                  </w:r>
                  <w:proofErr w:type="spellEnd"/>
                  <w:r w:rsidRPr="00A74BAE">
                    <w:rPr>
                      <w:rFonts w:eastAsia="Calibri"/>
                      <w:b/>
                      <w:bCs/>
                      <w:lang w:val="lv-LV"/>
                    </w:rPr>
                    <w:t xml:space="preserve"> Insurance SE</w:t>
                  </w:r>
                </w:p>
              </w:tc>
              <w:tc>
                <w:tcPr>
                  <w:tcW w:w="902" w:type="pct"/>
                  <w:tcBorders>
                    <w:top w:val="single" w:sz="4" w:space="0" w:color="auto"/>
                    <w:left w:val="single" w:sz="4" w:space="0" w:color="auto"/>
                    <w:bottom w:val="single" w:sz="4" w:space="0" w:color="auto"/>
                    <w:right w:val="single" w:sz="4" w:space="0" w:color="auto"/>
                  </w:tcBorders>
                  <w:vAlign w:val="center"/>
                </w:tcPr>
                <w:p w14:paraId="69C1A6D7" w14:textId="77777777" w:rsidR="007C5F7D" w:rsidRPr="00A74BAE" w:rsidRDefault="007C5F7D" w:rsidP="007C5F7D">
                  <w:pPr>
                    <w:spacing w:after="160" w:line="259" w:lineRule="auto"/>
                    <w:jc w:val="center"/>
                    <w:rPr>
                      <w:rFonts w:eastAsia="Calibri"/>
                      <w:b/>
                      <w:bCs/>
                      <w:lang w:val="lv-LV"/>
                    </w:rPr>
                  </w:pPr>
                  <w:proofErr w:type="spellStart"/>
                  <w:r w:rsidRPr="00A74BAE">
                    <w:rPr>
                      <w:rFonts w:eastAsia="Calibri"/>
                      <w:b/>
                      <w:bCs/>
                      <w:lang w:val="lv-LV"/>
                    </w:rPr>
                    <w:t>Compensa</w:t>
                  </w:r>
                  <w:proofErr w:type="spellEnd"/>
                  <w:r w:rsidRPr="00A74BAE">
                    <w:rPr>
                      <w:rFonts w:eastAsia="Calibri"/>
                      <w:b/>
                      <w:bCs/>
                      <w:lang w:val="lv-LV"/>
                    </w:rPr>
                    <w:t xml:space="preserve"> </w:t>
                  </w:r>
                  <w:proofErr w:type="spellStart"/>
                  <w:r w:rsidRPr="00A74BAE">
                    <w:rPr>
                      <w:rFonts w:eastAsia="Calibri"/>
                      <w:b/>
                      <w:bCs/>
                      <w:lang w:val="lv-LV"/>
                    </w:rPr>
                    <w:t>Vienna</w:t>
                  </w:r>
                  <w:proofErr w:type="spellEnd"/>
                  <w:r w:rsidRPr="00A74BAE">
                    <w:rPr>
                      <w:rFonts w:eastAsia="Calibri"/>
                      <w:b/>
                      <w:bCs/>
                      <w:lang w:val="lv-LV"/>
                    </w:rPr>
                    <w:t xml:space="preserve"> Insurance </w:t>
                  </w:r>
                  <w:proofErr w:type="spellStart"/>
                  <w:r w:rsidRPr="00A74BAE">
                    <w:rPr>
                      <w:rFonts w:eastAsia="Calibri"/>
                      <w:b/>
                      <w:bCs/>
                      <w:lang w:val="lv-LV"/>
                    </w:rPr>
                    <w:t>Group</w:t>
                  </w:r>
                  <w:proofErr w:type="spellEnd"/>
                  <w:r w:rsidRPr="00A74BAE">
                    <w:rPr>
                      <w:rFonts w:eastAsia="Calibri"/>
                      <w:b/>
                      <w:bCs/>
                      <w:lang w:val="lv-LV"/>
                    </w:rPr>
                    <w:t xml:space="preserve"> ADB Latvijas filiāle</w:t>
                  </w:r>
                </w:p>
              </w:tc>
            </w:tr>
            <w:tr w:rsidR="007C5F7D" w:rsidRPr="00A74BAE" w14:paraId="3F985EB4" w14:textId="77777777" w:rsidTr="00482970">
              <w:trPr>
                <w:cantSplit/>
                <w:trHeight w:val="50"/>
              </w:trPr>
              <w:tc>
                <w:tcPr>
                  <w:tcW w:w="441" w:type="pct"/>
                  <w:tcBorders>
                    <w:top w:val="single" w:sz="4" w:space="0" w:color="auto"/>
                    <w:left w:val="single" w:sz="4" w:space="0" w:color="auto"/>
                    <w:bottom w:val="single" w:sz="4" w:space="0" w:color="auto"/>
                    <w:right w:val="single" w:sz="4" w:space="0" w:color="auto"/>
                  </w:tcBorders>
                  <w:vAlign w:val="center"/>
                </w:tcPr>
                <w:p w14:paraId="0770046A" w14:textId="77777777" w:rsidR="007C5F7D" w:rsidRPr="00A74BAE" w:rsidRDefault="007C5F7D" w:rsidP="007C5F7D">
                  <w:pPr>
                    <w:ind w:left="178" w:right="152"/>
                    <w:jc w:val="center"/>
                    <w:rPr>
                      <w:rFonts w:eastAsia="Calibri"/>
                      <w:b/>
                      <w:bCs/>
                      <w:color w:val="000000"/>
                      <w:szCs w:val="26"/>
                      <w:lang w:val="lv-LV" w:eastAsia="lv-LV"/>
                    </w:rPr>
                  </w:pPr>
                  <w:r w:rsidRPr="00A74BAE">
                    <w:rPr>
                      <w:rFonts w:eastAsia="Calibri"/>
                      <w:color w:val="000000"/>
                      <w:szCs w:val="26"/>
                      <w:lang w:val="lv-LV" w:eastAsia="lv-LV"/>
                    </w:rPr>
                    <w:t>1.</w:t>
                  </w:r>
                </w:p>
              </w:tc>
              <w:tc>
                <w:tcPr>
                  <w:tcW w:w="2002" w:type="pct"/>
                  <w:tcBorders>
                    <w:top w:val="single" w:sz="4" w:space="0" w:color="auto"/>
                    <w:left w:val="single" w:sz="4" w:space="0" w:color="auto"/>
                    <w:bottom w:val="single" w:sz="4" w:space="0" w:color="auto"/>
                    <w:right w:val="single" w:sz="4" w:space="0" w:color="auto"/>
                  </w:tcBorders>
                </w:tcPr>
                <w:p w14:paraId="6F6612D3" w14:textId="77777777" w:rsidR="007C5F7D" w:rsidRPr="00A74BAE" w:rsidRDefault="007C5F7D" w:rsidP="007C5F7D">
                  <w:pPr>
                    <w:jc w:val="both"/>
                    <w:rPr>
                      <w:rFonts w:eastAsia="Calibri"/>
                      <w:b/>
                      <w:lang w:val="lv-LV" w:eastAsia="ar-SA"/>
                    </w:rPr>
                  </w:pPr>
                  <w:r w:rsidRPr="00A74BAE">
                    <w:rPr>
                      <w:rFonts w:eastAsia="Calibri"/>
                      <w:b/>
                      <w:lang w:val="lv-LV" w:eastAsia="ar-SA"/>
                    </w:rPr>
                    <w:t xml:space="preserve">Pašriska apmērs (P) </w:t>
                  </w:r>
                </w:p>
                <w:p w14:paraId="39ED0AF5" w14:textId="77777777" w:rsidR="007C5F7D" w:rsidRPr="00A74BAE" w:rsidRDefault="007C5F7D" w:rsidP="007C5F7D">
                  <w:pPr>
                    <w:jc w:val="both"/>
                    <w:rPr>
                      <w:rFonts w:eastAsia="Calibri"/>
                      <w:bCs/>
                      <w:lang w:val="lv-LV" w:eastAsia="ar-SA"/>
                    </w:rPr>
                  </w:pPr>
                  <w:r w:rsidRPr="00A74BAE">
                    <w:rPr>
                      <w:rFonts w:eastAsia="Calibri"/>
                      <w:bCs/>
                      <w:lang w:val="lv-LV" w:eastAsia="ar-SA"/>
                    </w:rPr>
                    <w:t>Maksimālais pašrisks līdz 100,00 EUR (ieskaitot) apmērā par katru apdrošināšanas gadījumu.</w:t>
                  </w:r>
                </w:p>
                <w:p w14:paraId="55CA3ED5" w14:textId="77777777" w:rsidR="007C5F7D" w:rsidRPr="00A74BAE" w:rsidRDefault="007C5F7D" w:rsidP="007C5F7D">
                  <w:pPr>
                    <w:autoSpaceDE w:val="0"/>
                    <w:autoSpaceDN w:val="0"/>
                    <w:adjustRightInd w:val="0"/>
                    <w:jc w:val="both"/>
                    <w:rPr>
                      <w:rFonts w:eastAsia="Calibri"/>
                      <w:bCs/>
                      <w:lang w:val="lv-LV" w:eastAsia="ar-SA"/>
                    </w:rPr>
                  </w:pPr>
                  <w:r w:rsidRPr="00A74BAE">
                    <w:rPr>
                      <w:rFonts w:eastAsia="Calibri"/>
                      <w:lang w:val="lv-LV" w:eastAsia="ar-SA"/>
                    </w:rPr>
                    <w:t>Maksimālais punktu skaits (30) tiek piešķirts pretendentam, kurš piedāvājis zemāko pašrisku finanšu piedāvājuma 2.tabulā “Pretendenta piedāvātā pašriska summa”. Pārējiem pretendentiem punkti tiek piešķirti, ievērojot proporcionalitātes principu, punktu skaitu aprēķinot pēc formulas:</w:t>
                  </w:r>
                </w:p>
                <w:p w14:paraId="4AD94573" w14:textId="77777777" w:rsidR="007C5F7D" w:rsidRPr="00A74BAE" w:rsidRDefault="007C5F7D" w:rsidP="007C5F7D">
                  <w:pPr>
                    <w:jc w:val="both"/>
                    <w:rPr>
                      <w:rFonts w:eastAsia="Calibri"/>
                      <w:bCs/>
                      <w:lang w:val="lv-LV" w:eastAsia="ar-SA"/>
                    </w:rPr>
                  </w:pPr>
                  <w:r w:rsidRPr="00A74BAE">
                    <w:rPr>
                      <w:rFonts w:eastAsia="Calibri"/>
                      <w:bCs/>
                      <w:lang w:val="lv-LV" w:eastAsia="ar-SA"/>
                    </w:rPr>
                    <w:t xml:space="preserve">P = </w:t>
                  </w:r>
                  <w:proofErr w:type="spellStart"/>
                  <w:r w:rsidRPr="00A74BAE">
                    <w:rPr>
                      <w:rFonts w:eastAsia="Calibri"/>
                      <w:bCs/>
                      <w:lang w:val="lv-LV" w:eastAsia="ar-SA"/>
                    </w:rPr>
                    <w:t>P</w:t>
                  </w:r>
                  <w:r w:rsidRPr="00A74BAE">
                    <w:rPr>
                      <w:rFonts w:eastAsia="Calibri"/>
                      <w:vertAlign w:val="subscript"/>
                      <w:lang w:val="lv-LV" w:eastAsia="ar-SA"/>
                    </w:rPr>
                    <w:t>zem</w:t>
                  </w:r>
                  <w:proofErr w:type="spellEnd"/>
                  <w:r w:rsidRPr="00A74BAE">
                    <w:rPr>
                      <w:rFonts w:eastAsia="Calibri"/>
                      <w:bCs/>
                      <w:lang w:val="lv-LV" w:eastAsia="ar-SA"/>
                    </w:rPr>
                    <w:t>/</w:t>
                  </w:r>
                  <w:proofErr w:type="spellStart"/>
                  <w:r w:rsidRPr="00A74BAE">
                    <w:rPr>
                      <w:rFonts w:eastAsia="Calibri"/>
                      <w:bCs/>
                      <w:lang w:val="lv-LV" w:eastAsia="ar-SA"/>
                    </w:rPr>
                    <w:t>P</w:t>
                  </w:r>
                  <w:r w:rsidRPr="00A74BAE">
                    <w:rPr>
                      <w:rFonts w:eastAsia="Calibri"/>
                      <w:bCs/>
                      <w:vertAlign w:val="subscript"/>
                      <w:lang w:val="lv-LV" w:eastAsia="ar-SA"/>
                    </w:rPr>
                    <w:t>ver</w:t>
                  </w:r>
                  <w:proofErr w:type="spellEnd"/>
                  <w:r w:rsidRPr="00A74BAE">
                    <w:rPr>
                      <w:rFonts w:eastAsia="Calibri"/>
                      <w:bCs/>
                      <w:lang w:val="lv-LV" w:eastAsia="ar-SA"/>
                    </w:rPr>
                    <w:t xml:space="preserve"> x 30, kur:</w:t>
                  </w:r>
                </w:p>
                <w:p w14:paraId="0C4A1EFA" w14:textId="77777777" w:rsidR="007C5F7D" w:rsidRPr="00A74BAE" w:rsidRDefault="007C5F7D" w:rsidP="007C5F7D">
                  <w:pPr>
                    <w:jc w:val="both"/>
                    <w:rPr>
                      <w:rFonts w:eastAsia="Calibri"/>
                      <w:lang w:val="lv-LV" w:eastAsia="ar-SA"/>
                    </w:rPr>
                  </w:pPr>
                  <w:r w:rsidRPr="00A74BAE">
                    <w:rPr>
                      <w:rFonts w:eastAsia="Calibri"/>
                      <w:lang w:val="lv-LV" w:eastAsia="ar-SA"/>
                    </w:rPr>
                    <w:t>P - pretendenta iegūtais punktu skaits ar precizitāti līdz 2 (diviem) cipariem aiz komata</w:t>
                  </w:r>
                </w:p>
                <w:p w14:paraId="12931A44" w14:textId="77777777" w:rsidR="007C5F7D" w:rsidRPr="00A74BAE" w:rsidRDefault="007C5F7D" w:rsidP="007C5F7D">
                  <w:pPr>
                    <w:jc w:val="both"/>
                    <w:rPr>
                      <w:rFonts w:eastAsia="Calibri"/>
                      <w:lang w:val="lv-LV" w:eastAsia="ar-SA"/>
                    </w:rPr>
                  </w:pPr>
                  <w:proofErr w:type="spellStart"/>
                  <w:r w:rsidRPr="00A74BAE">
                    <w:rPr>
                      <w:rFonts w:eastAsia="Calibri"/>
                      <w:lang w:val="lv-LV" w:eastAsia="ar-SA"/>
                    </w:rPr>
                    <w:t>P</w:t>
                  </w:r>
                  <w:r w:rsidRPr="00A74BAE">
                    <w:rPr>
                      <w:rFonts w:eastAsia="Calibri"/>
                      <w:vertAlign w:val="subscript"/>
                      <w:lang w:val="lv-LV" w:eastAsia="ar-SA"/>
                    </w:rPr>
                    <w:t>zem</w:t>
                  </w:r>
                  <w:proofErr w:type="spellEnd"/>
                  <w:r w:rsidRPr="00A74BAE">
                    <w:rPr>
                      <w:rFonts w:eastAsia="Calibri"/>
                      <w:lang w:val="lv-LV" w:eastAsia="ar-SA"/>
                    </w:rPr>
                    <w:t xml:space="preserve"> - zemākais pašrisks (EUR), kuru piedāvā kāds no pretendentiem;</w:t>
                  </w:r>
                </w:p>
                <w:p w14:paraId="30635415" w14:textId="77777777" w:rsidR="007C5F7D" w:rsidRPr="00A74BAE" w:rsidRDefault="007C5F7D" w:rsidP="007C5F7D">
                  <w:pPr>
                    <w:jc w:val="both"/>
                    <w:rPr>
                      <w:rFonts w:eastAsia="Calibri"/>
                      <w:lang w:val="lv-LV" w:eastAsia="ar-SA"/>
                    </w:rPr>
                  </w:pPr>
                  <w:proofErr w:type="spellStart"/>
                  <w:r w:rsidRPr="00A74BAE">
                    <w:rPr>
                      <w:rFonts w:eastAsia="Calibri"/>
                      <w:lang w:val="lv-LV" w:eastAsia="ar-SA"/>
                    </w:rPr>
                    <w:t>P</w:t>
                  </w:r>
                  <w:r w:rsidRPr="00A74BAE">
                    <w:rPr>
                      <w:rFonts w:eastAsia="Calibri"/>
                      <w:vertAlign w:val="subscript"/>
                      <w:lang w:val="lv-LV" w:eastAsia="ar-SA"/>
                    </w:rPr>
                    <w:t>ver</w:t>
                  </w:r>
                  <w:proofErr w:type="spellEnd"/>
                  <w:r w:rsidRPr="00A74BAE">
                    <w:rPr>
                      <w:rFonts w:eastAsia="Calibri"/>
                      <w:lang w:val="lv-LV" w:eastAsia="ar-SA"/>
                    </w:rPr>
                    <w:t xml:space="preserve"> - vērtējamā pretendenta piedāvātais pašrisks (EUR);</w:t>
                  </w:r>
                </w:p>
                <w:p w14:paraId="6D9D7800" w14:textId="77777777" w:rsidR="007C5F7D" w:rsidRPr="00A74BAE" w:rsidRDefault="007C5F7D" w:rsidP="007C5F7D">
                  <w:pPr>
                    <w:jc w:val="both"/>
                    <w:rPr>
                      <w:rFonts w:eastAsia="Calibri"/>
                      <w:b/>
                      <w:lang w:val="lv-LV" w:eastAsia="ar-SA"/>
                    </w:rPr>
                  </w:pPr>
                  <w:r w:rsidRPr="00A74BAE">
                    <w:rPr>
                      <w:rFonts w:eastAsia="Calibri"/>
                      <w:lang w:val="lv-LV" w:eastAsia="ar-SA"/>
                    </w:rPr>
                    <w:t>30 – maksimālais punktu skaits šajā kritērijā.</w:t>
                  </w:r>
                </w:p>
              </w:tc>
              <w:tc>
                <w:tcPr>
                  <w:tcW w:w="753" w:type="pct"/>
                  <w:tcBorders>
                    <w:top w:val="single" w:sz="4" w:space="0" w:color="auto"/>
                    <w:left w:val="single" w:sz="4" w:space="0" w:color="auto"/>
                    <w:bottom w:val="single" w:sz="4" w:space="0" w:color="auto"/>
                    <w:right w:val="single" w:sz="4" w:space="0" w:color="auto"/>
                  </w:tcBorders>
                  <w:vAlign w:val="center"/>
                </w:tcPr>
                <w:p w14:paraId="4D11980D" w14:textId="77777777" w:rsidR="007C5F7D" w:rsidRPr="00A74BAE" w:rsidRDefault="007C5F7D" w:rsidP="007C5F7D">
                  <w:pPr>
                    <w:spacing w:after="160" w:line="259" w:lineRule="auto"/>
                    <w:jc w:val="center"/>
                    <w:rPr>
                      <w:rFonts w:eastAsia="Calibri"/>
                      <w:bCs/>
                      <w:lang w:val="lv-LV"/>
                    </w:rPr>
                  </w:pPr>
                  <w:r w:rsidRPr="00A74BAE">
                    <w:rPr>
                      <w:rFonts w:eastAsia="Calibri"/>
                      <w:bCs/>
                      <w:lang w:val="lv-LV"/>
                    </w:rPr>
                    <w:t>30</w:t>
                  </w:r>
                </w:p>
              </w:tc>
              <w:tc>
                <w:tcPr>
                  <w:tcW w:w="902" w:type="pct"/>
                  <w:tcBorders>
                    <w:top w:val="single" w:sz="4" w:space="0" w:color="auto"/>
                    <w:left w:val="single" w:sz="4" w:space="0" w:color="auto"/>
                    <w:bottom w:val="single" w:sz="4" w:space="0" w:color="auto"/>
                    <w:right w:val="single" w:sz="4" w:space="0" w:color="auto"/>
                  </w:tcBorders>
                  <w:vAlign w:val="center"/>
                </w:tcPr>
                <w:p w14:paraId="370314E6" w14:textId="77777777" w:rsidR="007C5F7D" w:rsidRPr="00A74BAE" w:rsidRDefault="007C5F7D" w:rsidP="007C5F7D">
                  <w:pPr>
                    <w:spacing w:after="160" w:line="259" w:lineRule="auto"/>
                    <w:jc w:val="center"/>
                    <w:rPr>
                      <w:rFonts w:eastAsia="Calibri"/>
                      <w:b/>
                      <w:lang w:val="lv-LV"/>
                    </w:rPr>
                  </w:pPr>
                  <w:r w:rsidRPr="00A74BAE">
                    <w:rPr>
                      <w:rFonts w:eastAsia="Calibri"/>
                      <w:b/>
                      <w:lang w:val="lv-LV"/>
                    </w:rPr>
                    <w:t>30</w:t>
                  </w:r>
                </w:p>
                <w:p w14:paraId="0C457DCB" w14:textId="77777777" w:rsidR="007C5F7D" w:rsidRPr="00A74BAE" w:rsidRDefault="007C5F7D" w:rsidP="007C5F7D">
                  <w:pPr>
                    <w:spacing w:after="160" w:line="259" w:lineRule="auto"/>
                    <w:jc w:val="center"/>
                    <w:rPr>
                      <w:rFonts w:eastAsia="Calibri"/>
                      <w:bCs/>
                      <w:i/>
                      <w:iCs/>
                      <w:lang w:val="lv-LV"/>
                    </w:rPr>
                  </w:pPr>
                  <w:r w:rsidRPr="00A74BAE">
                    <w:rPr>
                      <w:rFonts w:eastAsia="Calibri"/>
                      <w:bCs/>
                      <w:i/>
                      <w:iCs/>
                      <w:lang w:val="lv-LV" w:eastAsia="ar-SA"/>
                    </w:rPr>
                    <w:t xml:space="preserve">P = </w:t>
                  </w:r>
                  <w:proofErr w:type="spellStart"/>
                  <w:r w:rsidRPr="00A74BAE">
                    <w:rPr>
                      <w:rFonts w:eastAsia="Calibri"/>
                      <w:bCs/>
                      <w:i/>
                      <w:iCs/>
                      <w:lang w:val="lv-LV" w:eastAsia="ar-SA"/>
                    </w:rPr>
                    <w:t>P</w:t>
                  </w:r>
                  <w:r w:rsidRPr="00A74BAE">
                    <w:rPr>
                      <w:rFonts w:eastAsia="Calibri"/>
                      <w:i/>
                      <w:iCs/>
                      <w:vertAlign w:val="subscript"/>
                      <w:lang w:val="lv-LV" w:eastAsia="ar-SA"/>
                    </w:rPr>
                    <w:t>zem</w:t>
                  </w:r>
                  <w:proofErr w:type="spellEnd"/>
                  <w:r w:rsidRPr="00A74BAE">
                    <w:rPr>
                      <w:rFonts w:eastAsia="Calibri"/>
                      <w:i/>
                      <w:iCs/>
                      <w:vertAlign w:val="subscript"/>
                      <w:lang w:val="lv-LV" w:eastAsia="ar-SA"/>
                    </w:rPr>
                    <w:t xml:space="preserve"> </w:t>
                  </w:r>
                  <w:r w:rsidRPr="00A74BAE">
                    <w:rPr>
                      <w:rFonts w:eastAsia="Calibri"/>
                      <w:i/>
                      <w:iCs/>
                      <w:lang w:val="lv-LV" w:eastAsia="ar-SA"/>
                    </w:rPr>
                    <w:t>60</w:t>
                  </w:r>
                  <w:r w:rsidRPr="00A74BAE">
                    <w:rPr>
                      <w:rFonts w:eastAsia="Calibri"/>
                      <w:i/>
                      <w:iCs/>
                      <w:vertAlign w:val="subscript"/>
                      <w:lang w:val="lv-LV" w:eastAsia="ar-SA"/>
                    </w:rPr>
                    <w:t xml:space="preserve"> </w:t>
                  </w:r>
                  <w:r w:rsidRPr="00A74BAE">
                    <w:rPr>
                      <w:rFonts w:eastAsia="Calibri"/>
                      <w:bCs/>
                      <w:i/>
                      <w:iCs/>
                      <w:lang w:val="lv-LV" w:eastAsia="ar-SA"/>
                    </w:rPr>
                    <w:t>/</w:t>
                  </w:r>
                  <w:proofErr w:type="spellStart"/>
                  <w:r w:rsidRPr="00A74BAE">
                    <w:rPr>
                      <w:rFonts w:eastAsia="Calibri"/>
                      <w:bCs/>
                      <w:i/>
                      <w:iCs/>
                      <w:lang w:val="lv-LV" w:eastAsia="ar-SA"/>
                    </w:rPr>
                    <w:t>P</w:t>
                  </w:r>
                  <w:r w:rsidRPr="00A74BAE">
                    <w:rPr>
                      <w:rFonts w:eastAsia="Calibri"/>
                      <w:bCs/>
                      <w:i/>
                      <w:iCs/>
                      <w:vertAlign w:val="subscript"/>
                      <w:lang w:val="lv-LV" w:eastAsia="ar-SA"/>
                    </w:rPr>
                    <w:t>ver</w:t>
                  </w:r>
                  <w:proofErr w:type="spellEnd"/>
                  <w:r w:rsidRPr="00A74BAE">
                    <w:rPr>
                      <w:rFonts w:eastAsia="Calibri"/>
                      <w:bCs/>
                      <w:i/>
                      <w:iCs/>
                      <w:lang w:val="lv-LV" w:eastAsia="ar-SA"/>
                    </w:rPr>
                    <w:t xml:space="preserve"> 60 x 30</w:t>
                  </w:r>
                </w:p>
              </w:tc>
              <w:tc>
                <w:tcPr>
                  <w:tcW w:w="902" w:type="pct"/>
                  <w:tcBorders>
                    <w:top w:val="single" w:sz="4" w:space="0" w:color="auto"/>
                    <w:left w:val="single" w:sz="4" w:space="0" w:color="auto"/>
                    <w:bottom w:val="single" w:sz="4" w:space="0" w:color="auto"/>
                    <w:right w:val="single" w:sz="4" w:space="0" w:color="auto"/>
                  </w:tcBorders>
                  <w:vAlign w:val="center"/>
                </w:tcPr>
                <w:p w14:paraId="60F79E19" w14:textId="77777777" w:rsidR="007C5F7D" w:rsidRPr="00A74BAE" w:rsidRDefault="007C5F7D" w:rsidP="007C5F7D">
                  <w:pPr>
                    <w:spacing w:after="160" w:line="259" w:lineRule="auto"/>
                    <w:jc w:val="center"/>
                    <w:rPr>
                      <w:rFonts w:eastAsia="Calibri"/>
                      <w:b/>
                      <w:lang w:val="lv-LV"/>
                    </w:rPr>
                  </w:pPr>
                  <w:r w:rsidRPr="00A74BAE">
                    <w:rPr>
                      <w:rFonts w:eastAsia="Calibri"/>
                      <w:b/>
                      <w:lang w:val="lv-LV"/>
                    </w:rPr>
                    <w:t>25,71</w:t>
                  </w:r>
                </w:p>
                <w:p w14:paraId="16791E9E" w14:textId="77777777" w:rsidR="007C5F7D" w:rsidRPr="00A74BAE" w:rsidRDefault="007C5F7D" w:rsidP="007C5F7D">
                  <w:pPr>
                    <w:spacing w:after="160" w:line="259" w:lineRule="auto"/>
                    <w:jc w:val="center"/>
                    <w:rPr>
                      <w:rFonts w:eastAsia="Calibri"/>
                      <w:bCs/>
                      <w:i/>
                      <w:iCs/>
                      <w:lang w:val="lv-LV"/>
                    </w:rPr>
                  </w:pPr>
                  <w:r w:rsidRPr="00A74BAE">
                    <w:rPr>
                      <w:rFonts w:eastAsia="Calibri"/>
                      <w:bCs/>
                      <w:i/>
                      <w:iCs/>
                      <w:lang w:val="lv-LV" w:eastAsia="ar-SA"/>
                    </w:rPr>
                    <w:t xml:space="preserve">P = </w:t>
                  </w:r>
                  <w:proofErr w:type="spellStart"/>
                  <w:r w:rsidRPr="00A74BAE">
                    <w:rPr>
                      <w:rFonts w:eastAsia="Calibri"/>
                      <w:bCs/>
                      <w:i/>
                      <w:iCs/>
                      <w:lang w:val="lv-LV" w:eastAsia="ar-SA"/>
                    </w:rPr>
                    <w:t>P</w:t>
                  </w:r>
                  <w:r w:rsidRPr="00A74BAE">
                    <w:rPr>
                      <w:rFonts w:eastAsia="Calibri"/>
                      <w:i/>
                      <w:iCs/>
                      <w:vertAlign w:val="subscript"/>
                      <w:lang w:val="lv-LV" w:eastAsia="ar-SA"/>
                    </w:rPr>
                    <w:t>zem</w:t>
                  </w:r>
                  <w:proofErr w:type="spellEnd"/>
                  <w:r w:rsidRPr="00A74BAE">
                    <w:rPr>
                      <w:rFonts w:eastAsia="Calibri"/>
                      <w:i/>
                      <w:iCs/>
                      <w:vertAlign w:val="subscript"/>
                      <w:lang w:val="lv-LV" w:eastAsia="ar-SA"/>
                    </w:rPr>
                    <w:t xml:space="preserve"> </w:t>
                  </w:r>
                  <w:r w:rsidRPr="00A74BAE">
                    <w:rPr>
                      <w:rFonts w:eastAsia="Calibri"/>
                      <w:i/>
                      <w:iCs/>
                      <w:lang w:val="lv-LV" w:eastAsia="ar-SA"/>
                    </w:rPr>
                    <w:t>60</w:t>
                  </w:r>
                  <w:r w:rsidRPr="00A74BAE">
                    <w:rPr>
                      <w:rFonts w:eastAsia="Calibri"/>
                      <w:i/>
                      <w:iCs/>
                      <w:vertAlign w:val="subscript"/>
                      <w:lang w:val="lv-LV" w:eastAsia="ar-SA"/>
                    </w:rPr>
                    <w:t xml:space="preserve"> </w:t>
                  </w:r>
                  <w:r w:rsidRPr="00A74BAE">
                    <w:rPr>
                      <w:rFonts w:eastAsia="Calibri"/>
                      <w:bCs/>
                      <w:i/>
                      <w:iCs/>
                      <w:lang w:val="lv-LV" w:eastAsia="ar-SA"/>
                    </w:rPr>
                    <w:t>/</w:t>
                  </w:r>
                  <w:proofErr w:type="spellStart"/>
                  <w:r w:rsidRPr="00A74BAE">
                    <w:rPr>
                      <w:rFonts w:eastAsia="Calibri"/>
                      <w:bCs/>
                      <w:i/>
                      <w:iCs/>
                      <w:lang w:val="lv-LV" w:eastAsia="ar-SA"/>
                    </w:rPr>
                    <w:t>P</w:t>
                  </w:r>
                  <w:r w:rsidRPr="00A74BAE">
                    <w:rPr>
                      <w:rFonts w:eastAsia="Calibri"/>
                      <w:bCs/>
                      <w:i/>
                      <w:iCs/>
                      <w:vertAlign w:val="subscript"/>
                      <w:lang w:val="lv-LV" w:eastAsia="ar-SA"/>
                    </w:rPr>
                    <w:t>ver</w:t>
                  </w:r>
                  <w:proofErr w:type="spellEnd"/>
                  <w:r w:rsidRPr="00A74BAE">
                    <w:rPr>
                      <w:rFonts w:eastAsia="Calibri"/>
                      <w:bCs/>
                      <w:i/>
                      <w:iCs/>
                      <w:lang w:val="lv-LV" w:eastAsia="ar-SA"/>
                    </w:rPr>
                    <w:t xml:space="preserve"> 70 x 30</w:t>
                  </w:r>
                </w:p>
              </w:tc>
            </w:tr>
            <w:tr w:rsidR="007C5F7D" w:rsidRPr="00A74BAE" w14:paraId="32A12C21" w14:textId="77777777" w:rsidTr="00482970">
              <w:trPr>
                <w:cantSplit/>
                <w:trHeight w:val="50"/>
              </w:trPr>
              <w:tc>
                <w:tcPr>
                  <w:tcW w:w="441" w:type="pct"/>
                  <w:tcBorders>
                    <w:top w:val="single" w:sz="4" w:space="0" w:color="auto"/>
                    <w:left w:val="single" w:sz="4" w:space="0" w:color="auto"/>
                    <w:bottom w:val="single" w:sz="4" w:space="0" w:color="auto"/>
                    <w:right w:val="single" w:sz="4" w:space="0" w:color="auto"/>
                  </w:tcBorders>
                  <w:vAlign w:val="center"/>
                </w:tcPr>
                <w:p w14:paraId="5375E7EC" w14:textId="77777777" w:rsidR="007C5F7D" w:rsidRPr="00A74BAE" w:rsidRDefault="007C5F7D" w:rsidP="007C5F7D">
                  <w:pPr>
                    <w:ind w:left="178" w:right="152"/>
                    <w:jc w:val="center"/>
                    <w:rPr>
                      <w:rFonts w:eastAsia="Calibri"/>
                      <w:color w:val="000000"/>
                      <w:szCs w:val="26"/>
                      <w:lang w:val="lv-LV" w:eastAsia="lv-LV"/>
                    </w:rPr>
                  </w:pPr>
                  <w:r w:rsidRPr="00A74BAE">
                    <w:rPr>
                      <w:rFonts w:eastAsia="Calibri"/>
                      <w:color w:val="000000"/>
                      <w:szCs w:val="26"/>
                      <w:lang w:val="lv-LV" w:eastAsia="lv-LV"/>
                    </w:rPr>
                    <w:t>2.</w:t>
                  </w:r>
                </w:p>
                <w:p w14:paraId="6D4F1BFA" w14:textId="77777777" w:rsidR="007C5F7D" w:rsidRPr="00A74BAE" w:rsidRDefault="007C5F7D" w:rsidP="007C5F7D">
                  <w:pPr>
                    <w:ind w:left="178" w:right="152"/>
                    <w:jc w:val="center"/>
                    <w:rPr>
                      <w:rFonts w:eastAsia="Calibri"/>
                      <w:color w:val="000000"/>
                      <w:szCs w:val="26"/>
                      <w:lang w:val="lv-LV" w:eastAsia="lv-LV"/>
                    </w:rPr>
                  </w:pPr>
                </w:p>
              </w:tc>
              <w:tc>
                <w:tcPr>
                  <w:tcW w:w="2002" w:type="pct"/>
                  <w:tcBorders>
                    <w:top w:val="single" w:sz="4" w:space="0" w:color="auto"/>
                    <w:left w:val="single" w:sz="4" w:space="0" w:color="auto"/>
                    <w:bottom w:val="single" w:sz="4" w:space="0" w:color="auto"/>
                    <w:right w:val="single" w:sz="4" w:space="0" w:color="auto"/>
                  </w:tcBorders>
                </w:tcPr>
                <w:p w14:paraId="0EF13E75" w14:textId="77777777" w:rsidR="007C5F7D" w:rsidRPr="00A74BAE" w:rsidRDefault="007C5F7D" w:rsidP="007C5F7D">
                  <w:pPr>
                    <w:jc w:val="both"/>
                    <w:rPr>
                      <w:rFonts w:eastAsia="Calibri"/>
                      <w:b/>
                      <w:lang w:val="lv-LV" w:eastAsia="ar-SA"/>
                    </w:rPr>
                  </w:pPr>
                  <w:bookmarkStart w:id="3" w:name="_Hlk116038501"/>
                  <w:r w:rsidRPr="00A74BAE">
                    <w:rPr>
                      <w:rFonts w:eastAsia="Calibri"/>
                      <w:b/>
                      <w:lang w:val="lv-LV" w:eastAsia="ar-SA"/>
                    </w:rPr>
                    <w:t>Cena (C)</w:t>
                  </w:r>
                </w:p>
                <w:bookmarkEnd w:id="3"/>
                <w:p w14:paraId="57F5D310" w14:textId="77777777" w:rsidR="007C5F7D" w:rsidRPr="00A74BAE" w:rsidRDefault="007C5F7D" w:rsidP="007C5F7D">
                  <w:pPr>
                    <w:autoSpaceDE w:val="0"/>
                    <w:autoSpaceDN w:val="0"/>
                    <w:adjustRightInd w:val="0"/>
                    <w:jc w:val="both"/>
                    <w:rPr>
                      <w:rFonts w:eastAsia="Calibri"/>
                      <w:lang w:val="lv-LV" w:eastAsia="ar-SA"/>
                    </w:rPr>
                  </w:pPr>
                  <w:r w:rsidRPr="00A74BAE">
                    <w:rPr>
                      <w:rFonts w:eastAsia="Calibri"/>
                      <w:color w:val="000000"/>
                      <w:szCs w:val="26"/>
                      <w:lang w:val="lv-LV" w:eastAsia="lv-LV"/>
                    </w:rPr>
                    <w:t>Finanšu piedāvājumā</w:t>
                  </w:r>
                  <w:r w:rsidRPr="00A74BAE">
                    <w:rPr>
                      <w:rFonts w:eastAsia="Calibri"/>
                      <w:lang w:val="lv-LV" w:eastAsia="ar-SA"/>
                    </w:rPr>
                    <w:t xml:space="preserve"> pretendents norāda kopējo līgumcenu  48 (četrdesmit astoņiem) mēnešiem EUR bez PVN. </w:t>
                  </w:r>
                </w:p>
                <w:p w14:paraId="0CAEEE5F" w14:textId="77777777" w:rsidR="007C5F7D" w:rsidRPr="00A74BAE" w:rsidRDefault="007C5F7D" w:rsidP="007C5F7D">
                  <w:pPr>
                    <w:autoSpaceDE w:val="0"/>
                    <w:autoSpaceDN w:val="0"/>
                    <w:adjustRightInd w:val="0"/>
                    <w:jc w:val="both"/>
                    <w:rPr>
                      <w:rFonts w:eastAsia="Calibri"/>
                      <w:lang w:val="lv-LV" w:eastAsia="ar-SA"/>
                    </w:rPr>
                  </w:pPr>
                  <w:r w:rsidRPr="00A74BAE">
                    <w:rPr>
                      <w:rFonts w:eastAsia="Calibri"/>
                      <w:lang w:val="lv-LV" w:eastAsia="ar-SA"/>
                    </w:rPr>
                    <w:t>Maksimālais punktu skaits (70) tiek piešķirts pretendentam, kurš piedāvājis zemāko cenu finanšu piedāvājuma 1.tabulas kolonnā “Līgumcena (apdrošināšanas prēmija) 48 mēnešu periodam EUR”. Pārējiem pretendentiem punkti tiek piešķirti, ievērojot proporcionalitātes principu, punktu skaitu aprēķinot pēc formulas:</w:t>
                  </w:r>
                </w:p>
                <w:p w14:paraId="2DFB7905" w14:textId="77777777" w:rsidR="007C5F7D" w:rsidRPr="00A74BAE" w:rsidRDefault="007C5F7D" w:rsidP="007C5F7D">
                  <w:pPr>
                    <w:autoSpaceDE w:val="0"/>
                    <w:autoSpaceDN w:val="0"/>
                    <w:adjustRightInd w:val="0"/>
                    <w:jc w:val="both"/>
                    <w:rPr>
                      <w:rFonts w:eastAsia="Calibri"/>
                      <w:lang w:val="lv-LV" w:eastAsia="ar-SA"/>
                    </w:rPr>
                  </w:pPr>
                  <w:r w:rsidRPr="00A74BAE">
                    <w:rPr>
                      <w:rFonts w:eastAsia="Calibri"/>
                      <w:lang w:val="lv-LV" w:eastAsia="ar-SA"/>
                    </w:rPr>
                    <w:t xml:space="preserve">C = </w:t>
                  </w:r>
                  <w:proofErr w:type="spellStart"/>
                  <w:r w:rsidRPr="00A74BAE">
                    <w:rPr>
                      <w:rFonts w:eastAsia="Calibri"/>
                      <w:lang w:val="lv-LV" w:eastAsia="ar-SA"/>
                    </w:rPr>
                    <w:t>C</w:t>
                  </w:r>
                  <w:r w:rsidRPr="00A74BAE">
                    <w:rPr>
                      <w:rFonts w:eastAsia="Calibri"/>
                      <w:vertAlign w:val="subscript"/>
                      <w:lang w:val="lv-LV" w:eastAsia="ar-SA"/>
                    </w:rPr>
                    <w:t>zem</w:t>
                  </w:r>
                  <w:proofErr w:type="spellEnd"/>
                  <w:r w:rsidRPr="00A74BAE">
                    <w:rPr>
                      <w:rFonts w:eastAsia="Calibri"/>
                      <w:lang w:val="lv-LV" w:eastAsia="ar-SA"/>
                    </w:rPr>
                    <w:t>/</w:t>
                  </w:r>
                  <w:proofErr w:type="spellStart"/>
                  <w:r w:rsidRPr="00A74BAE">
                    <w:rPr>
                      <w:rFonts w:eastAsia="Calibri"/>
                      <w:lang w:val="lv-LV" w:eastAsia="ar-SA"/>
                    </w:rPr>
                    <w:t>C</w:t>
                  </w:r>
                  <w:r w:rsidRPr="00A74BAE">
                    <w:rPr>
                      <w:rFonts w:eastAsia="Calibri"/>
                      <w:vertAlign w:val="subscript"/>
                      <w:lang w:val="lv-LV" w:eastAsia="ar-SA"/>
                    </w:rPr>
                    <w:t>ver</w:t>
                  </w:r>
                  <w:proofErr w:type="spellEnd"/>
                  <w:r w:rsidRPr="00A74BAE">
                    <w:rPr>
                      <w:rFonts w:eastAsia="Calibri"/>
                      <w:lang w:val="lv-LV" w:eastAsia="ar-SA"/>
                    </w:rPr>
                    <w:t xml:space="preserve"> x 70, kur:</w:t>
                  </w:r>
                </w:p>
                <w:p w14:paraId="235E8BBC" w14:textId="77777777" w:rsidR="007C5F7D" w:rsidRPr="00A74BAE" w:rsidRDefault="007C5F7D" w:rsidP="007C5F7D">
                  <w:pPr>
                    <w:autoSpaceDE w:val="0"/>
                    <w:autoSpaceDN w:val="0"/>
                    <w:adjustRightInd w:val="0"/>
                    <w:jc w:val="both"/>
                    <w:rPr>
                      <w:rFonts w:eastAsia="Calibri"/>
                      <w:lang w:val="lv-LV" w:eastAsia="ar-SA"/>
                    </w:rPr>
                  </w:pPr>
                  <w:r w:rsidRPr="00A74BAE">
                    <w:rPr>
                      <w:rFonts w:eastAsia="Calibri"/>
                      <w:lang w:val="lv-LV" w:eastAsia="ar-SA"/>
                    </w:rPr>
                    <w:t>C – pretendenta iegūtais punktu skaits ar precizitāti līdz 2 (diviem) cipariem aiz komata;</w:t>
                  </w:r>
                </w:p>
                <w:p w14:paraId="7D2379BE" w14:textId="77777777" w:rsidR="007C5F7D" w:rsidRPr="00A74BAE" w:rsidRDefault="007C5F7D" w:rsidP="007C5F7D">
                  <w:pPr>
                    <w:autoSpaceDE w:val="0"/>
                    <w:autoSpaceDN w:val="0"/>
                    <w:adjustRightInd w:val="0"/>
                    <w:jc w:val="both"/>
                    <w:rPr>
                      <w:rFonts w:eastAsia="Calibri"/>
                      <w:lang w:val="lv-LV" w:eastAsia="ar-SA"/>
                    </w:rPr>
                  </w:pPr>
                  <w:proofErr w:type="spellStart"/>
                  <w:r w:rsidRPr="00A74BAE">
                    <w:rPr>
                      <w:rFonts w:eastAsia="Calibri"/>
                      <w:lang w:val="lv-LV" w:eastAsia="ar-SA"/>
                    </w:rPr>
                    <w:t>C</w:t>
                  </w:r>
                  <w:r w:rsidRPr="00A74BAE">
                    <w:rPr>
                      <w:rFonts w:eastAsia="Calibri"/>
                      <w:vertAlign w:val="subscript"/>
                      <w:lang w:val="lv-LV" w:eastAsia="ar-SA"/>
                    </w:rPr>
                    <w:t>zem</w:t>
                  </w:r>
                  <w:proofErr w:type="spellEnd"/>
                  <w:r w:rsidRPr="00A74BAE">
                    <w:rPr>
                      <w:rFonts w:eastAsia="Calibri"/>
                      <w:lang w:val="lv-LV" w:eastAsia="ar-SA"/>
                    </w:rPr>
                    <w:t xml:space="preserve"> – zemākā cena (EUR), kuru piedāvā kāds no pretendentiem;</w:t>
                  </w:r>
                </w:p>
                <w:p w14:paraId="5502750B" w14:textId="77777777" w:rsidR="007C5F7D" w:rsidRPr="00A74BAE" w:rsidRDefault="007C5F7D" w:rsidP="007C5F7D">
                  <w:pPr>
                    <w:autoSpaceDE w:val="0"/>
                    <w:autoSpaceDN w:val="0"/>
                    <w:adjustRightInd w:val="0"/>
                    <w:jc w:val="both"/>
                    <w:rPr>
                      <w:rFonts w:eastAsia="Calibri"/>
                      <w:lang w:val="lv-LV" w:eastAsia="ar-SA"/>
                    </w:rPr>
                  </w:pPr>
                  <w:proofErr w:type="spellStart"/>
                  <w:r w:rsidRPr="00A74BAE">
                    <w:rPr>
                      <w:rFonts w:eastAsia="Calibri"/>
                      <w:lang w:val="lv-LV" w:eastAsia="ar-SA"/>
                    </w:rPr>
                    <w:t>C</w:t>
                  </w:r>
                  <w:r w:rsidRPr="00A74BAE">
                    <w:rPr>
                      <w:rFonts w:eastAsia="Calibri"/>
                      <w:vertAlign w:val="subscript"/>
                      <w:lang w:val="lv-LV" w:eastAsia="ar-SA"/>
                    </w:rPr>
                    <w:t>ver</w:t>
                  </w:r>
                  <w:proofErr w:type="spellEnd"/>
                  <w:r w:rsidRPr="00A74BAE">
                    <w:rPr>
                      <w:rFonts w:eastAsia="Calibri"/>
                      <w:lang w:val="lv-LV" w:eastAsia="ar-SA"/>
                    </w:rPr>
                    <w:t xml:space="preserve"> – vērtējamā pretendenta piedāvātā cena (EUR);</w:t>
                  </w:r>
                </w:p>
                <w:p w14:paraId="5A510D1F" w14:textId="77777777" w:rsidR="007C5F7D" w:rsidRPr="00A74BAE" w:rsidRDefault="007C5F7D" w:rsidP="007C5F7D">
                  <w:pPr>
                    <w:spacing w:after="160" w:line="259" w:lineRule="auto"/>
                    <w:rPr>
                      <w:rFonts w:eastAsia="Calibri"/>
                      <w:bCs/>
                      <w:lang w:val="lv-LV"/>
                    </w:rPr>
                  </w:pPr>
                  <w:r w:rsidRPr="00A74BAE">
                    <w:rPr>
                      <w:rFonts w:eastAsia="Calibri"/>
                      <w:lang w:val="lv-LV" w:eastAsia="ar-SA"/>
                    </w:rPr>
                    <w:t>70 – maksimālais punktu skaits šajā kritērijā.</w:t>
                  </w:r>
                </w:p>
              </w:tc>
              <w:tc>
                <w:tcPr>
                  <w:tcW w:w="753" w:type="pct"/>
                  <w:tcBorders>
                    <w:top w:val="single" w:sz="4" w:space="0" w:color="auto"/>
                    <w:left w:val="single" w:sz="4" w:space="0" w:color="auto"/>
                    <w:bottom w:val="single" w:sz="4" w:space="0" w:color="auto"/>
                    <w:right w:val="single" w:sz="4" w:space="0" w:color="auto"/>
                  </w:tcBorders>
                  <w:vAlign w:val="center"/>
                </w:tcPr>
                <w:p w14:paraId="72714E34" w14:textId="77777777" w:rsidR="007C5F7D" w:rsidRPr="00A74BAE" w:rsidRDefault="007C5F7D" w:rsidP="007C5F7D">
                  <w:pPr>
                    <w:spacing w:after="160" w:line="259" w:lineRule="auto"/>
                    <w:jc w:val="center"/>
                    <w:rPr>
                      <w:rFonts w:eastAsia="Calibri"/>
                      <w:bCs/>
                      <w:lang w:val="lv-LV"/>
                    </w:rPr>
                  </w:pPr>
                  <w:r w:rsidRPr="00A74BAE">
                    <w:rPr>
                      <w:rFonts w:eastAsia="Calibri"/>
                      <w:bCs/>
                      <w:lang w:val="lv-LV"/>
                    </w:rPr>
                    <w:t>70</w:t>
                  </w:r>
                </w:p>
              </w:tc>
              <w:tc>
                <w:tcPr>
                  <w:tcW w:w="902" w:type="pct"/>
                  <w:tcBorders>
                    <w:top w:val="single" w:sz="4" w:space="0" w:color="auto"/>
                    <w:left w:val="single" w:sz="4" w:space="0" w:color="auto"/>
                    <w:bottom w:val="single" w:sz="4" w:space="0" w:color="auto"/>
                    <w:right w:val="single" w:sz="4" w:space="0" w:color="auto"/>
                  </w:tcBorders>
                  <w:vAlign w:val="center"/>
                </w:tcPr>
                <w:p w14:paraId="7FD208F6" w14:textId="77777777" w:rsidR="007C5F7D" w:rsidRPr="00A74BAE" w:rsidRDefault="007C5F7D" w:rsidP="007C5F7D">
                  <w:pPr>
                    <w:spacing w:after="160" w:line="259" w:lineRule="auto"/>
                    <w:jc w:val="center"/>
                    <w:rPr>
                      <w:rFonts w:eastAsia="Calibri"/>
                      <w:b/>
                      <w:lang w:val="lv-LV"/>
                    </w:rPr>
                  </w:pPr>
                  <w:r w:rsidRPr="00A74BAE">
                    <w:rPr>
                      <w:rFonts w:eastAsia="Calibri"/>
                      <w:b/>
                      <w:lang w:val="lv-LV"/>
                    </w:rPr>
                    <w:t>62,91</w:t>
                  </w:r>
                </w:p>
                <w:p w14:paraId="37AED11C" w14:textId="77777777" w:rsidR="007C5F7D" w:rsidRPr="00A74BAE" w:rsidRDefault="007C5F7D" w:rsidP="007C5F7D">
                  <w:pPr>
                    <w:jc w:val="center"/>
                    <w:rPr>
                      <w:rFonts w:eastAsia="Calibri"/>
                      <w:i/>
                      <w:iCs/>
                      <w:lang w:val="lv-LV" w:eastAsia="ar-SA"/>
                    </w:rPr>
                  </w:pPr>
                  <w:r w:rsidRPr="00A74BAE">
                    <w:rPr>
                      <w:rFonts w:eastAsia="Calibri"/>
                      <w:i/>
                      <w:iCs/>
                      <w:lang w:val="lv-LV" w:eastAsia="ar-SA"/>
                    </w:rPr>
                    <w:t xml:space="preserve">C = </w:t>
                  </w:r>
                  <w:proofErr w:type="spellStart"/>
                  <w:r w:rsidRPr="00A74BAE">
                    <w:rPr>
                      <w:rFonts w:eastAsia="Calibri"/>
                      <w:i/>
                      <w:iCs/>
                      <w:lang w:val="lv-LV" w:eastAsia="ar-SA"/>
                    </w:rPr>
                    <w:t>C</w:t>
                  </w:r>
                  <w:r w:rsidRPr="00A74BAE">
                    <w:rPr>
                      <w:rFonts w:eastAsia="Calibri"/>
                      <w:i/>
                      <w:iCs/>
                      <w:vertAlign w:val="subscript"/>
                      <w:lang w:val="lv-LV" w:eastAsia="ar-SA"/>
                    </w:rPr>
                    <w:t>zem</w:t>
                  </w:r>
                  <w:proofErr w:type="spellEnd"/>
                  <w:r w:rsidRPr="00A74BAE">
                    <w:rPr>
                      <w:rFonts w:eastAsia="Calibri"/>
                      <w:i/>
                      <w:iCs/>
                      <w:vertAlign w:val="subscript"/>
                      <w:lang w:val="lv-LV" w:eastAsia="ar-SA"/>
                    </w:rPr>
                    <w:t xml:space="preserve"> </w:t>
                  </w:r>
                  <w:r w:rsidRPr="00A74BAE">
                    <w:rPr>
                      <w:rFonts w:eastAsia="Calibri"/>
                      <w:i/>
                      <w:iCs/>
                      <w:lang w:val="lv-LV" w:eastAsia="ar-SA"/>
                    </w:rPr>
                    <w:t>89782,00</w:t>
                  </w:r>
                  <w:r w:rsidRPr="00A74BAE">
                    <w:rPr>
                      <w:rFonts w:eastAsia="Calibri"/>
                      <w:i/>
                      <w:iCs/>
                      <w:vertAlign w:val="subscript"/>
                      <w:lang w:val="lv-LV" w:eastAsia="ar-SA"/>
                    </w:rPr>
                    <w:t xml:space="preserve"> </w:t>
                  </w:r>
                  <w:r w:rsidRPr="00A74BAE">
                    <w:rPr>
                      <w:rFonts w:eastAsia="Calibri"/>
                      <w:i/>
                      <w:iCs/>
                      <w:lang w:val="lv-LV" w:eastAsia="ar-SA"/>
                    </w:rPr>
                    <w:t>/</w:t>
                  </w:r>
                </w:p>
                <w:p w14:paraId="4898EFDF" w14:textId="77777777" w:rsidR="007C5F7D" w:rsidRPr="00A74BAE" w:rsidRDefault="007C5F7D" w:rsidP="007C5F7D">
                  <w:pPr>
                    <w:jc w:val="center"/>
                    <w:rPr>
                      <w:rFonts w:eastAsia="Calibri"/>
                      <w:bCs/>
                      <w:lang w:val="lv-LV"/>
                    </w:rPr>
                  </w:pPr>
                  <w:proofErr w:type="spellStart"/>
                  <w:r w:rsidRPr="00A74BAE">
                    <w:rPr>
                      <w:rFonts w:eastAsia="Calibri"/>
                      <w:i/>
                      <w:iCs/>
                      <w:lang w:val="lv-LV" w:eastAsia="ar-SA"/>
                    </w:rPr>
                    <w:t>C</w:t>
                  </w:r>
                  <w:r w:rsidRPr="00A74BAE">
                    <w:rPr>
                      <w:rFonts w:eastAsia="Calibri"/>
                      <w:i/>
                      <w:iCs/>
                      <w:vertAlign w:val="subscript"/>
                      <w:lang w:val="lv-LV" w:eastAsia="ar-SA"/>
                    </w:rPr>
                    <w:t>ver</w:t>
                  </w:r>
                  <w:proofErr w:type="spellEnd"/>
                  <w:r w:rsidRPr="00A74BAE">
                    <w:rPr>
                      <w:rFonts w:eastAsia="Calibri"/>
                      <w:i/>
                      <w:iCs/>
                      <w:lang w:val="lv-LV" w:eastAsia="ar-SA"/>
                    </w:rPr>
                    <w:t xml:space="preserve"> 99902,88 x 70</w:t>
                  </w:r>
                </w:p>
              </w:tc>
              <w:tc>
                <w:tcPr>
                  <w:tcW w:w="902" w:type="pct"/>
                  <w:tcBorders>
                    <w:top w:val="single" w:sz="4" w:space="0" w:color="auto"/>
                    <w:left w:val="single" w:sz="4" w:space="0" w:color="auto"/>
                    <w:bottom w:val="single" w:sz="4" w:space="0" w:color="auto"/>
                    <w:right w:val="single" w:sz="4" w:space="0" w:color="auto"/>
                  </w:tcBorders>
                  <w:vAlign w:val="center"/>
                </w:tcPr>
                <w:p w14:paraId="2E37098A" w14:textId="77777777" w:rsidR="007C5F7D" w:rsidRPr="00A74BAE" w:rsidRDefault="007C5F7D" w:rsidP="007C5F7D">
                  <w:pPr>
                    <w:spacing w:after="160" w:line="259" w:lineRule="auto"/>
                    <w:jc w:val="center"/>
                    <w:rPr>
                      <w:rFonts w:eastAsia="Calibri"/>
                      <w:b/>
                      <w:lang w:val="lv-LV"/>
                    </w:rPr>
                  </w:pPr>
                  <w:r w:rsidRPr="00A74BAE">
                    <w:rPr>
                      <w:rFonts w:eastAsia="Calibri"/>
                      <w:b/>
                      <w:lang w:val="lv-LV"/>
                    </w:rPr>
                    <w:t>70</w:t>
                  </w:r>
                </w:p>
                <w:p w14:paraId="1075D092" w14:textId="77777777" w:rsidR="007C5F7D" w:rsidRPr="00A74BAE" w:rsidRDefault="007C5F7D" w:rsidP="007C5F7D">
                  <w:pPr>
                    <w:jc w:val="center"/>
                    <w:rPr>
                      <w:rFonts w:eastAsia="Calibri"/>
                      <w:bCs/>
                      <w:i/>
                      <w:iCs/>
                      <w:lang w:val="lv-LV"/>
                    </w:rPr>
                  </w:pPr>
                  <w:r w:rsidRPr="00A74BAE">
                    <w:rPr>
                      <w:rFonts w:eastAsia="Calibri"/>
                      <w:bCs/>
                      <w:i/>
                      <w:iCs/>
                      <w:lang w:val="lv-LV"/>
                    </w:rPr>
                    <w:t xml:space="preserve">C = </w:t>
                  </w:r>
                  <w:proofErr w:type="spellStart"/>
                  <w:r w:rsidRPr="00A74BAE">
                    <w:rPr>
                      <w:rFonts w:eastAsia="Calibri"/>
                      <w:bCs/>
                      <w:i/>
                      <w:iCs/>
                      <w:lang w:val="lv-LV"/>
                    </w:rPr>
                    <w:t>C</w:t>
                  </w:r>
                  <w:r w:rsidRPr="00A74BAE">
                    <w:rPr>
                      <w:rFonts w:eastAsia="Calibri"/>
                      <w:bCs/>
                      <w:i/>
                      <w:iCs/>
                      <w:vertAlign w:val="subscript"/>
                      <w:lang w:val="lv-LV"/>
                    </w:rPr>
                    <w:t>zem</w:t>
                  </w:r>
                  <w:proofErr w:type="spellEnd"/>
                  <w:r w:rsidRPr="00A74BAE">
                    <w:rPr>
                      <w:rFonts w:eastAsia="Calibri"/>
                      <w:bCs/>
                      <w:i/>
                      <w:iCs/>
                      <w:lang w:val="lv-LV"/>
                    </w:rPr>
                    <w:t xml:space="preserve"> 89782,00 /</w:t>
                  </w:r>
                </w:p>
                <w:p w14:paraId="12CF37ED" w14:textId="77777777" w:rsidR="007C5F7D" w:rsidRPr="00A74BAE" w:rsidRDefault="007C5F7D" w:rsidP="007C5F7D">
                  <w:pPr>
                    <w:jc w:val="center"/>
                    <w:rPr>
                      <w:rFonts w:eastAsia="Calibri"/>
                      <w:bCs/>
                      <w:lang w:val="lv-LV"/>
                    </w:rPr>
                  </w:pPr>
                  <w:proofErr w:type="spellStart"/>
                  <w:r w:rsidRPr="00A74BAE">
                    <w:rPr>
                      <w:rFonts w:eastAsia="Calibri"/>
                      <w:bCs/>
                      <w:i/>
                      <w:iCs/>
                      <w:lang w:val="lv-LV"/>
                    </w:rPr>
                    <w:t>C</w:t>
                  </w:r>
                  <w:r w:rsidRPr="00A74BAE">
                    <w:rPr>
                      <w:rFonts w:eastAsia="Calibri"/>
                      <w:bCs/>
                      <w:i/>
                      <w:iCs/>
                      <w:vertAlign w:val="subscript"/>
                      <w:lang w:val="lv-LV"/>
                    </w:rPr>
                    <w:t>ver</w:t>
                  </w:r>
                  <w:proofErr w:type="spellEnd"/>
                  <w:r w:rsidRPr="00A74BAE">
                    <w:rPr>
                      <w:rFonts w:eastAsia="Calibri"/>
                      <w:bCs/>
                      <w:i/>
                      <w:iCs/>
                      <w:lang w:val="lv-LV"/>
                    </w:rPr>
                    <w:t xml:space="preserve"> 89782,00 x 70</w:t>
                  </w:r>
                </w:p>
              </w:tc>
            </w:tr>
            <w:tr w:rsidR="007C5F7D" w:rsidRPr="00A74BAE" w14:paraId="6C91AB07" w14:textId="77777777" w:rsidTr="00482970">
              <w:trPr>
                <w:cantSplit/>
              </w:trPr>
              <w:tc>
                <w:tcPr>
                  <w:tcW w:w="2444" w:type="pct"/>
                  <w:gridSpan w:val="2"/>
                  <w:tcBorders>
                    <w:top w:val="single" w:sz="4" w:space="0" w:color="auto"/>
                    <w:left w:val="single" w:sz="4" w:space="0" w:color="auto"/>
                    <w:bottom w:val="single" w:sz="4" w:space="0" w:color="auto"/>
                    <w:right w:val="single" w:sz="4" w:space="0" w:color="auto"/>
                  </w:tcBorders>
                  <w:vAlign w:val="center"/>
                </w:tcPr>
                <w:p w14:paraId="6C26CE32" w14:textId="77777777" w:rsidR="007C5F7D" w:rsidRPr="00A74BAE" w:rsidRDefault="007C5F7D" w:rsidP="007C5F7D">
                  <w:pPr>
                    <w:spacing w:after="160" w:line="259" w:lineRule="auto"/>
                    <w:jc w:val="right"/>
                    <w:rPr>
                      <w:rFonts w:eastAsia="Calibri"/>
                      <w:b/>
                      <w:bCs/>
                      <w:lang w:val="lv-LV"/>
                    </w:rPr>
                  </w:pPr>
                  <w:r w:rsidRPr="00A74BAE">
                    <w:rPr>
                      <w:rFonts w:eastAsia="Calibri"/>
                      <w:b/>
                      <w:bCs/>
                      <w:lang w:val="lv-LV"/>
                    </w:rPr>
                    <w:t>Kopā (V):</w:t>
                  </w:r>
                </w:p>
              </w:tc>
              <w:tc>
                <w:tcPr>
                  <w:tcW w:w="753" w:type="pct"/>
                  <w:tcBorders>
                    <w:top w:val="single" w:sz="4" w:space="0" w:color="auto"/>
                    <w:left w:val="single" w:sz="4" w:space="0" w:color="auto"/>
                    <w:bottom w:val="single" w:sz="4" w:space="0" w:color="auto"/>
                    <w:right w:val="single" w:sz="4" w:space="0" w:color="auto"/>
                  </w:tcBorders>
                  <w:vAlign w:val="center"/>
                </w:tcPr>
                <w:p w14:paraId="27C136B2" w14:textId="77777777" w:rsidR="007C5F7D" w:rsidRPr="00A74BAE" w:rsidRDefault="007C5F7D" w:rsidP="007C5F7D">
                  <w:pPr>
                    <w:spacing w:after="160" w:line="259" w:lineRule="auto"/>
                    <w:jc w:val="center"/>
                    <w:rPr>
                      <w:rFonts w:eastAsia="Calibri"/>
                      <w:b/>
                      <w:bCs/>
                      <w:lang w:val="lv-LV"/>
                    </w:rPr>
                  </w:pPr>
                  <w:r w:rsidRPr="00A74BAE">
                    <w:rPr>
                      <w:rFonts w:eastAsia="Calibri"/>
                      <w:b/>
                      <w:bCs/>
                      <w:lang w:val="lv-LV"/>
                    </w:rPr>
                    <w:t>100</w:t>
                  </w:r>
                </w:p>
              </w:tc>
              <w:tc>
                <w:tcPr>
                  <w:tcW w:w="902" w:type="pct"/>
                  <w:tcBorders>
                    <w:top w:val="single" w:sz="4" w:space="0" w:color="auto"/>
                    <w:left w:val="single" w:sz="4" w:space="0" w:color="auto"/>
                    <w:bottom w:val="single" w:sz="4" w:space="0" w:color="auto"/>
                    <w:right w:val="single" w:sz="4" w:space="0" w:color="auto"/>
                  </w:tcBorders>
                </w:tcPr>
                <w:p w14:paraId="3A5C1F1C" w14:textId="77777777" w:rsidR="007C5F7D" w:rsidRPr="00A74BAE" w:rsidRDefault="007C5F7D" w:rsidP="007C5F7D">
                  <w:pPr>
                    <w:spacing w:after="160" w:line="259" w:lineRule="auto"/>
                    <w:jc w:val="center"/>
                    <w:rPr>
                      <w:rFonts w:eastAsia="Calibri"/>
                      <w:b/>
                      <w:bCs/>
                      <w:lang w:val="lv-LV"/>
                    </w:rPr>
                  </w:pPr>
                  <w:r w:rsidRPr="00A74BAE">
                    <w:rPr>
                      <w:rFonts w:eastAsia="Calibri"/>
                      <w:b/>
                      <w:bCs/>
                      <w:lang w:val="lv-LV"/>
                    </w:rPr>
                    <w:t>92,91</w:t>
                  </w:r>
                </w:p>
              </w:tc>
              <w:tc>
                <w:tcPr>
                  <w:tcW w:w="902" w:type="pct"/>
                  <w:tcBorders>
                    <w:top w:val="single" w:sz="4" w:space="0" w:color="auto"/>
                    <w:left w:val="single" w:sz="4" w:space="0" w:color="auto"/>
                    <w:bottom w:val="single" w:sz="4" w:space="0" w:color="auto"/>
                    <w:right w:val="single" w:sz="4" w:space="0" w:color="auto"/>
                  </w:tcBorders>
                </w:tcPr>
                <w:p w14:paraId="7B2243D8" w14:textId="77777777" w:rsidR="007C5F7D" w:rsidRPr="00A74BAE" w:rsidRDefault="007C5F7D" w:rsidP="007C5F7D">
                  <w:pPr>
                    <w:spacing w:after="160" w:line="259" w:lineRule="auto"/>
                    <w:jc w:val="center"/>
                    <w:rPr>
                      <w:rFonts w:eastAsia="Calibri"/>
                      <w:b/>
                      <w:bCs/>
                      <w:lang w:val="lv-LV"/>
                    </w:rPr>
                  </w:pPr>
                  <w:r w:rsidRPr="00A74BAE">
                    <w:rPr>
                      <w:rFonts w:eastAsia="Calibri"/>
                      <w:b/>
                      <w:bCs/>
                      <w:lang w:val="lv-LV"/>
                    </w:rPr>
                    <w:t>95,71</w:t>
                  </w:r>
                </w:p>
              </w:tc>
            </w:tr>
            <w:bookmarkEnd w:id="2"/>
          </w:tbl>
          <w:p w14:paraId="7EB56252" w14:textId="1140EA2E" w:rsidR="007C5F7D" w:rsidRPr="00A74BAE" w:rsidRDefault="007C5F7D" w:rsidP="007C5F7D">
            <w:pPr>
              <w:ind w:right="458"/>
              <w:jc w:val="both"/>
              <w:rPr>
                <w:b/>
                <w:bCs/>
                <w:lang w:val="lv-LV"/>
              </w:rPr>
            </w:pPr>
          </w:p>
        </w:tc>
      </w:tr>
      <w:tr w:rsidR="007C5F7D" w:rsidRPr="00A74BAE" w14:paraId="54A2FC83" w14:textId="77777777" w:rsidTr="00A74BAE">
        <w:tc>
          <w:tcPr>
            <w:tcW w:w="3510" w:type="dxa"/>
          </w:tcPr>
          <w:p w14:paraId="390A8CDD" w14:textId="77777777" w:rsidR="007C5F7D" w:rsidRPr="00A74BAE" w:rsidRDefault="007C5F7D" w:rsidP="007C5F7D">
            <w:pPr>
              <w:spacing w:before="60" w:after="60"/>
              <w:jc w:val="both"/>
              <w:rPr>
                <w:lang w:val="lv-LV"/>
              </w:rPr>
            </w:pPr>
            <w:r w:rsidRPr="00A74BAE">
              <w:rPr>
                <w:lang w:val="lv-LV"/>
              </w:rPr>
              <w:t>Informācija (ja tā ir zināma) par to iepirkuma līguma daļu, kuru izraudzītais pretendents plānojis nodot apakšuzņēmējiem, kā arī apakšuzņēmēju nosaukumi</w:t>
            </w:r>
          </w:p>
        </w:tc>
        <w:tc>
          <w:tcPr>
            <w:tcW w:w="10773" w:type="dxa"/>
            <w:gridSpan w:val="3"/>
          </w:tcPr>
          <w:p w14:paraId="64CAD6E5" w14:textId="77777777" w:rsidR="007C5F7D" w:rsidRPr="00A74BAE" w:rsidRDefault="007C5F7D" w:rsidP="007C5F7D">
            <w:pPr>
              <w:spacing w:before="60" w:after="60"/>
              <w:jc w:val="both"/>
              <w:rPr>
                <w:lang w:val="lv-LV"/>
              </w:rPr>
            </w:pPr>
            <w:r w:rsidRPr="00A74BAE">
              <w:rPr>
                <w:lang w:val="lv-LV"/>
              </w:rPr>
              <w:t>Nav attiecināms.</w:t>
            </w:r>
          </w:p>
        </w:tc>
      </w:tr>
      <w:tr w:rsidR="007C5F7D" w:rsidRPr="00A74BAE" w14:paraId="0E837D7B" w14:textId="77777777" w:rsidTr="00A74BAE">
        <w:tc>
          <w:tcPr>
            <w:tcW w:w="3510" w:type="dxa"/>
          </w:tcPr>
          <w:p w14:paraId="0BBE07F5" w14:textId="77777777" w:rsidR="007C5F7D" w:rsidRPr="00A74BAE" w:rsidRDefault="007C5F7D" w:rsidP="007C5F7D">
            <w:pPr>
              <w:spacing w:before="60" w:after="60"/>
              <w:jc w:val="both"/>
              <w:rPr>
                <w:lang w:val="lv-LV"/>
              </w:rPr>
            </w:pPr>
            <w:r w:rsidRPr="00A74BAE">
              <w:rPr>
                <w:lang w:val="lv-LV"/>
              </w:rPr>
              <w:t>Pamatojums lēmumam par katru noraidīto pretendentu, kā arī par katru iepirkuma procedūras dokumentiem neatbilstošu piedāvājumu</w:t>
            </w:r>
          </w:p>
        </w:tc>
        <w:tc>
          <w:tcPr>
            <w:tcW w:w="10773" w:type="dxa"/>
            <w:gridSpan w:val="3"/>
          </w:tcPr>
          <w:p w14:paraId="1443F7BB" w14:textId="0B3D29AB" w:rsidR="007C5F7D" w:rsidRPr="00A74BAE" w:rsidRDefault="007C5F7D" w:rsidP="007C5F7D">
            <w:pPr>
              <w:spacing w:before="60" w:after="60"/>
              <w:jc w:val="both"/>
              <w:rPr>
                <w:color w:val="FF0000"/>
                <w:lang w:val="lv-LV"/>
              </w:rPr>
            </w:pPr>
            <w:r w:rsidRPr="00A74BAE">
              <w:rPr>
                <w:lang w:val="lv-LV"/>
              </w:rPr>
              <w:t>Nav attiecināms</w:t>
            </w:r>
          </w:p>
        </w:tc>
      </w:tr>
      <w:tr w:rsidR="007C5F7D" w:rsidRPr="00A74BAE" w14:paraId="3F4D7230" w14:textId="77777777" w:rsidTr="00A74BAE">
        <w:tc>
          <w:tcPr>
            <w:tcW w:w="3510" w:type="dxa"/>
          </w:tcPr>
          <w:p w14:paraId="6571822A" w14:textId="77777777" w:rsidR="007C5F7D" w:rsidRPr="00A74BAE" w:rsidRDefault="007C5F7D" w:rsidP="007C5F7D">
            <w:pPr>
              <w:spacing w:before="60" w:after="60"/>
              <w:jc w:val="both"/>
              <w:rPr>
                <w:lang w:val="lv-LV"/>
              </w:rPr>
            </w:pPr>
            <w:r w:rsidRPr="00A74BAE">
              <w:rPr>
                <w:lang w:val="lv-LV"/>
              </w:rPr>
              <w:t>Ja piedāvājumu iesniedzis tikai viens piegādātājs, – pamatojums iepirkuma procedūras nepārtraukšanai saskaņā ar MK noteikumu Nr. 107 19. punktu</w:t>
            </w:r>
          </w:p>
        </w:tc>
        <w:tc>
          <w:tcPr>
            <w:tcW w:w="10773" w:type="dxa"/>
            <w:gridSpan w:val="3"/>
          </w:tcPr>
          <w:p w14:paraId="4E9B8516" w14:textId="6DEBCE74" w:rsidR="007C5F7D" w:rsidRPr="00A74BAE" w:rsidRDefault="007C5F7D" w:rsidP="007C5F7D">
            <w:pPr>
              <w:spacing w:before="60" w:after="60"/>
              <w:jc w:val="both"/>
              <w:rPr>
                <w:lang w:val="lv-LV"/>
              </w:rPr>
            </w:pPr>
            <w:r w:rsidRPr="00A74BAE">
              <w:rPr>
                <w:lang w:val="lv-LV"/>
              </w:rPr>
              <w:t>Nav attiecināms</w:t>
            </w:r>
          </w:p>
        </w:tc>
      </w:tr>
      <w:tr w:rsidR="007C5F7D" w:rsidRPr="00A74BAE" w14:paraId="389A8931" w14:textId="77777777" w:rsidTr="00A74BAE">
        <w:tc>
          <w:tcPr>
            <w:tcW w:w="3510" w:type="dxa"/>
          </w:tcPr>
          <w:p w14:paraId="19226312" w14:textId="77777777" w:rsidR="007C5F7D" w:rsidRPr="00A74BAE" w:rsidRDefault="007C5F7D" w:rsidP="007C5F7D">
            <w:pPr>
              <w:spacing w:before="60" w:after="60"/>
              <w:jc w:val="both"/>
              <w:rPr>
                <w:lang w:val="lv-LV"/>
              </w:rPr>
            </w:pPr>
            <w:r w:rsidRPr="00A74BAE">
              <w:rPr>
                <w:lang w:val="lv-LV"/>
              </w:rPr>
              <w:t>Lēmuma pamatojums, ja iepirkuma komisija pieņēmusi lēmumu pārtraukt vai izbeigt iepirkuma procedūru</w:t>
            </w:r>
          </w:p>
        </w:tc>
        <w:tc>
          <w:tcPr>
            <w:tcW w:w="10773" w:type="dxa"/>
            <w:gridSpan w:val="3"/>
          </w:tcPr>
          <w:p w14:paraId="573F75E4" w14:textId="1D73C0B0" w:rsidR="007C5F7D" w:rsidRPr="00A74BAE" w:rsidRDefault="007C5F7D" w:rsidP="007C5F7D">
            <w:pPr>
              <w:spacing w:before="60" w:after="60"/>
              <w:jc w:val="both"/>
              <w:rPr>
                <w:lang w:val="lv-LV"/>
              </w:rPr>
            </w:pPr>
            <w:r w:rsidRPr="00A74BAE">
              <w:rPr>
                <w:lang w:val="lv-LV"/>
              </w:rPr>
              <w:t>Nav attiecināms.</w:t>
            </w:r>
          </w:p>
        </w:tc>
      </w:tr>
      <w:tr w:rsidR="007C5F7D" w:rsidRPr="00A74BAE" w14:paraId="74932978" w14:textId="77777777" w:rsidTr="00A74BAE">
        <w:tc>
          <w:tcPr>
            <w:tcW w:w="3510" w:type="dxa"/>
          </w:tcPr>
          <w:p w14:paraId="1B8DDCB8" w14:textId="77777777" w:rsidR="007C5F7D" w:rsidRPr="00A74BAE" w:rsidRDefault="007C5F7D" w:rsidP="007C5F7D">
            <w:pPr>
              <w:spacing w:before="60" w:after="60"/>
              <w:jc w:val="both"/>
              <w:rPr>
                <w:lang w:val="lv-LV"/>
              </w:rPr>
            </w:pPr>
            <w:r w:rsidRPr="00A74BAE">
              <w:rPr>
                <w:lang w:val="lv-LV"/>
              </w:rPr>
              <w:t>Piedāvājuma noraidīšanas pamatojums, ja iepirkuma komisija atzinusi piedāvājumu par nepamatoti lētu</w:t>
            </w:r>
          </w:p>
        </w:tc>
        <w:tc>
          <w:tcPr>
            <w:tcW w:w="10773" w:type="dxa"/>
            <w:gridSpan w:val="3"/>
          </w:tcPr>
          <w:p w14:paraId="2C593000" w14:textId="77777777" w:rsidR="007C5F7D" w:rsidRPr="00A74BAE" w:rsidRDefault="007C5F7D" w:rsidP="007C5F7D">
            <w:pPr>
              <w:spacing w:before="60" w:after="60"/>
              <w:jc w:val="both"/>
              <w:rPr>
                <w:lang w:val="lv-LV"/>
              </w:rPr>
            </w:pPr>
            <w:r w:rsidRPr="00A74BAE">
              <w:rPr>
                <w:lang w:val="lv-LV"/>
              </w:rPr>
              <w:t>Nav attiecināms.</w:t>
            </w:r>
          </w:p>
        </w:tc>
      </w:tr>
      <w:tr w:rsidR="007C5F7D" w:rsidRPr="00A74BAE" w14:paraId="0E310CF3" w14:textId="77777777" w:rsidTr="00A74BAE">
        <w:tc>
          <w:tcPr>
            <w:tcW w:w="3510" w:type="dxa"/>
          </w:tcPr>
          <w:p w14:paraId="4CAAC6A5" w14:textId="77777777" w:rsidR="007C5F7D" w:rsidRPr="00A74BAE" w:rsidRDefault="007C5F7D" w:rsidP="007C5F7D">
            <w:pPr>
              <w:spacing w:before="60" w:after="60"/>
              <w:jc w:val="both"/>
              <w:rPr>
                <w:lang w:val="lv-LV"/>
              </w:rPr>
            </w:pPr>
            <w:r w:rsidRPr="00A74BAE">
              <w:rPr>
                <w:lang w:val="lv-LV"/>
              </w:rPr>
              <w:t>Iemesli, kuru dēļ netiek paredzēta elektroniska piedāvājumu iesniegšana, ja pasūtītājam ir pienākums izmantot piedāvājumu saņemšanai elektroniskās informācijas sistēmas</w:t>
            </w:r>
          </w:p>
        </w:tc>
        <w:tc>
          <w:tcPr>
            <w:tcW w:w="10773" w:type="dxa"/>
            <w:gridSpan w:val="3"/>
          </w:tcPr>
          <w:p w14:paraId="4E939111" w14:textId="77777777" w:rsidR="007C5F7D" w:rsidRPr="00A74BAE" w:rsidRDefault="007C5F7D" w:rsidP="007C5F7D">
            <w:pPr>
              <w:spacing w:before="60" w:after="60"/>
              <w:jc w:val="both"/>
              <w:rPr>
                <w:lang w:val="lv-LV"/>
              </w:rPr>
            </w:pPr>
            <w:r w:rsidRPr="00A74BAE">
              <w:rPr>
                <w:lang w:val="lv-LV"/>
              </w:rPr>
              <w:t>Nav attiecināms.</w:t>
            </w:r>
          </w:p>
        </w:tc>
      </w:tr>
      <w:tr w:rsidR="007C5F7D" w:rsidRPr="00A74BAE" w14:paraId="1EA74C14" w14:textId="77777777" w:rsidTr="00A74BAE">
        <w:tc>
          <w:tcPr>
            <w:tcW w:w="3510" w:type="dxa"/>
          </w:tcPr>
          <w:p w14:paraId="0ACA7C9B" w14:textId="77777777" w:rsidR="007C5F7D" w:rsidRPr="00A74BAE" w:rsidRDefault="007C5F7D" w:rsidP="007C5F7D">
            <w:pPr>
              <w:spacing w:before="60" w:after="60"/>
              <w:jc w:val="both"/>
              <w:rPr>
                <w:lang w:val="lv-LV"/>
              </w:rPr>
            </w:pPr>
            <w:r w:rsidRPr="00A74BAE">
              <w:rPr>
                <w:lang w:val="lv-LV"/>
              </w:rPr>
              <w:t>Konstatētie interešu konflikti un pasākumi, kas veikti to novēršanai</w:t>
            </w:r>
          </w:p>
        </w:tc>
        <w:tc>
          <w:tcPr>
            <w:tcW w:w="10773" w:type="dxa"/>
            <w:gridSpan w:val="3"/>
          </w:tcPr>
          <w:p w14:paraId="151AEDE0" w14:textId="77777777" w:rsidR="007C5F7D" w:rsidRPr="00A74BAE" w:rsidRDefault="007C5F7D" w:rsidP="007C5F7D">
            <w:pPr>
              <w:pStyle w:val="tv213"/>
              <w:spacing w:before="60" w:beforeAutospacing="0" w:after="60" w:afterAutospacing="0"/>
              <w:jc w:val="both"/>
            </w:pPr>
            <w:r w:rsidRPr="00A74BAE">
              <w:t>Nav konstatēti.</w:t>
            </w:r>
          </w:p>
          <w:p w14:paraId="45245A41" w14:textId="77777777" w:rsidR="007C5F7D" w:rsidRPr="00A74BAE" w:rsidRDefault="007C5F7D" w:rsidP="007C5F7D">
            <w:pPr>
              <w:pStyle w:val="tv213"/>
              <w:spacing w:before="60" w:beforeAutospacing="0" w:after="60" w:afterAutospacing="0"/>
              <w:jc w:val="both"/>
            </w:pPr>
            <w:r w:rsidRPr="00A74BAE">
              <w:t>Veiktas Publisko iepirkumu likuma III nodaļā paredzētās procedūras.</w:t>
            </w:r>
          </w:p>
        </w:tc>
      </w:tr>
      <w:tr w:rsidR="00A20F49" w:rsidRPr="00A74BAE" w14:paraId="25F26451" w14:textId="77777777" w:rsidTr="00A74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71" w:type="dxa"/>
        </w:trPr>
        <w:tc>
          <w:tcPr>
            <w:tcW w:w="4856" w:type="dxa"/>
            <w:gridSpan w:val="2"/>
          </w:tcPr>
          <w:p w14:paraId="3418C536" w14:textId="77777777" w:rsidR="00A74BAE" w:rsidRDefault="00A74BAE" w:rsidP="00A20F49">
            <w:pPr>
              <w:jc w:val="both"/>
              <w:rPr>
                <w:lang w:val="lv-LV"/>
              </w:rPr>
            </w:pPr>
          </w:p>
          <w:p w14:paraId="0D945721" w14:textId="0BBEDC5E" w:rsidR="00A20F49" w:rsidRPr="00A74BAE" w:rsidRDefault="00A20F49" w:rsidP="00A20F49">
            <w:pPr>
              <w:jc w:val="both"/>
              <w:rPr>
                <w:rFonts w:eastAsia="Calibri"/>
                <w:lang w:val="lv-LV"/>
              </w:rPr>
            </w:pPr>
            <w:r w:rsidRPr="00A74BAE">
              <w:rPr>
                <w:lang w:val="lv-LV"/>
              </w:rPr>
              <w:t>Iepirkuma komisijas priekšsēdētāja</w:t>
            </w:r>
          </w:p>
        </w:tc>
        <w:tc>
          <w:tcPr>
            <w:tcW w:w="4856" w:type="dxa"/>
          </w:tcPr>
          <w:p w14:paraId="0EDF41F7" w14:textId="6DA65959" w:rsidR="00A20F49" w:rsidRPr="00A74BAE" w:rsidRDefault="00B270C9" w:rsidP="00A20F49">
            <w:pPr>
              <w:jc w:val="right"/>
              <w:rPr>
                <w:rFonts w:eastAsia="Calibri"/>
                <w:lang w:val="lv-LV"/>
              </w:rPr>
            </w:pPr>
            <w:proofErr w:type="spellStart"/>
            <w:r w:rsidRPr="00A74BAE">
              <w:rPr>
                <w:lang w:val="lv-LV"/>
              </w:rPr>
              <w:t>I.Liepa</w:t>
            </w:r>
            <w:proofErr w:type="spellEnd"/>
          </w:p>
        </w:tc>
      </w:tr>
      <w:tr w:rsidR="00841889" w:rsidRPr="00A74BAE" w14:paraId="73731DF5" w14:textId="77777777" w:rsidTr="00A74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71" w:type="dxa"/>
        </w:trPr>
        <w:tc>
          <w:tcPr>
            <w:tcW w:w="4856" w:type="dxa"/>
            <w:gridSpan w:val="2"/>
          </w:tcPr>
          <w:p w14:paraId="5EFF4B1E" w14:textId="77777777" w:rsidR="00233F11" w:rsidRPr="00A74BAE" w:rsidRDefault="00233F11" w:rsidP="00233F11">
            <w:pPr>
              <w:rPr>
                <w:lang w:val="lv-LV"/>
              </w:rPr>
            </w:pPr>
          </w:p>
          <w:p w14:paraId="0E78A43C" w14:textId="54BE105D" w:rsidR="00233F11" w:rsidRPr="00A74BAE" w:rsidRDefault="00B270C9" w:rsidP="00233F11">
            <w:pPr>
              <w:rPr>
                <w:lang w:val="lv-LV"/>
              </w:rPr>
            </w:pPr>
            <w:r w:rsidRPr="00A74BAE">
              <w:rPr>
                <w:lang w:val="lv-LV"/>
              </w:rPr>
              <w:t>Forande 67037956</w:t>
            </w:r>
          </w:p>
        </w:tc>
        <w:tc>
          <w:tcPr>
            <w:tcW w:w="4856" w:type="dxa"/>
          </w:tcPr>
          <w:p w14:paraId="4541414E" w14:textId="77777777" w:rsidR="00233F11" w:rsidRPr="00A74BAE" w:rsidRDefault="00233F11" w:rsidP="00233F11">
            <w:pPr>
              <w:jc w:val="both"/>
              <w:rPr>
                <w:rFonts w:eastAsia="Calibri"/>
                <w:lang w:val="lv-LV"/>
              </w:rPr>
            </w:pPr>
          </w:p>
        </w:tc>
      </w:tr>
    </w:tbl>
    <w:p w14:paraId="22512AEE" w14:textId="77777777" w:rsidR="00A56E70" w:rsidRPr="00A74BAE" w:rsidRDefault="00A56E70" w:rsidP="007D0B34">
      <w:pPr>
        <w:jc w:val="both"/>
        <w:rPr>
          <w:lang w:val="lv-LV"/>
        </w:rPr>
      </w:pPr>
    </w:p>
    <w:sectPr w:rsidR="00A56E70" w:rsidRPr="00A74BAE" w:rsidSect="00611372">
      <w:pgSz w:w="16838" w:h="11906" w:orient="landscape"/>
      <w:pgMar w:top="1276"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E07F" w14:textId="77777777" w:rsidR="00661355" w:rsidRDefault="00661355" w:rsidP="00EC652B">
      <w:r>
        <w:separator/>
      </w:r>
    </w:p>
  </w:endnote>
  <w:endnote w:type="continuationSeparator" w:id="0">
    <w:p w14:paraId="6BDC46F8" w14:textId="77777777" w:rsidR="00661355" w:rsidRDefault="00661355"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AE4F" w14:textId="77777777" w:rsidR="00661355" w:rsidRDefault="00661355" w:rsidP="00EC652B">
      <w:r>
        <w:separator/>
      </w:r>
    </w:p>
  </w:footnote>
  <w:footnote w:type="continuationSeparator" w:id="0">
    <w:p w14:paraId="3CE629BD" w14:textId="77777777" w:rsidR="00661355" w:rsidRDefault="00661355"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7951F7"/>
    <w:multiLevelType w:val="hybridMultilevel"/>
    <w:tmpl w:val="E2C07F10"/>
    <w:lvl w:ilvl="0" w:tplc="2686592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08576344">
    <w:abstractNumId w:val="7"/>
  </w:num>
  <w:num w:numId="2" w16cid:durableId="1481847968">
    <w:abstractNumId w:val="0"/>
  </w:num>
  <w:num w:numId="3" w16cid:durableId="141581302">
    <w:abstractNumId w:val="1"/>
  </w:num>
  <w:num w:numId="4" w16cid:durableId="707531745">
    <w:abstractNumId w:val="10"/>
  </w:num>
  <w:num w:numId="5" w16cid:durableId="932518345">
    <w:abstractNumId w:val="5"/>
  </w:num>
  <w:num w:numId="6" w16cid:durableId="1723485241">
    <w:abstractNumId w:val="3"/>
  </w:num>
  <w:num w:numId="7" w16cid:durableId="1678802624">
    <w:abstractNumId w:val="8"/>
  </w:num>
  <w:num w:numId="8" w16cid:durableId="1542206207">
    <w:abstractNumId w:val="9"/>
  </w:num>
  <w:num w:numId="9" w16cid:durableId="2076124379">
    <w:abstractNumId w:val="6"/>
  </w:num>
  <w:num w:numId="10" w16cid:durableId="1694531370">
    <w:abstractNumId w:val="4"/>
  </w:num>
  <w:num w:numId="11" w16cid:durableId="56492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43246"/>
    <w:rsid w:val="00044BF4"/>
    <w:rsid w:val="0005645E"/>
    <w:rsid w:val="00070752"/>
    <w:rsid w:val="0007139A"/>
    <w:rsid w:val="000B3F5F"/>
    <w:rsid w:val="000E6B3B"/>
    <w:rsid w:val="000E7593"/>
    <w:rsid w:val="0010164F"/>
    <w:rsid w:val="00107EBC"/>
    <w:rsid w:val="00112C89"/>
    <w:rsid w:val="00113605"/>
    <w:rsid w:val="00116BA7"/>
    <w:rsid w:val="001659C7"/>
    <w:rsid w:val="00172272"/>
    <w:rsid w:val="001B44B6"/>
    <w:rsid w:val="001C25CB"/>
    <w:rsid w:val="001D67A1"/>
    <w:rsid w:val="001F0B23"/>
    <w:rsid w:val="002018B4"/>
    <w:rsid w:val="00221DAF"/>
    <w:rsid w:val="00222478"/>
    <w:rsid w:val="00233F11"/>
    <w:rsid w:val="00266ECF"/>
    <w:rsid w:val="00296843"/>
    <w:rsid w:val="003316A2"/>
    <w:rsid w:val="00333586"/>
    <w:rsid w:val="00356CD5"/>
    <w:rsid w:val="00372D60"/>
    <w:rsid w:val="00400792"/>
    <w:rsid w:val="00411C7C"/>
    <w:rsid w:val="004150FC"/>
    <w:rsid w:val="00435C1C"/>
    <w:rsid w:val="00480BB1"/>
    <w:rsid w:val="00482B80"/>
    <w:rsid w:val="00483103"/>
    <w:rsid w:val="004A784E"/>
    <w:rsid w:val="00504EEF"/>
    <w:rsid w:val="00530B39"/>
    <w:rsid w:val="00537537"/>
    <w:rsid w:val="0054319F"/>
    <w:rsid w:val="00565F22"/>
    <w:rsid w:val="005C34A9"/>
    <w:rsid w:val="005F0026"/>
    <w:rsid w:val="005F3FBE"/>
    <w:rsid w:val="00601334"/>
    <w:rsid w:val="00611372"/>
    <w:rsid w:val="00632A4C"/>
    <w:rsid w:val="00632ABB"/>
    <w:rsid w:val="006344E3"/>
    <w:rsid w:val="006412B9"/>
    <w:rsid w:val="00651B41"/>
    <w:rsid w:val="00661355"/>
    <w:rsid w:val="006932A6"/>
    <w:rsid w:val="00693961"/>
    <w:rsid w:val="006B481B"/>
    <w:rsid w:val="006B4ADC"/>
    <w:rsid w:val="006D59BA"/>
    <w:rsid w:val="006E0042"/>
    <w:rsid w:val="006F3A84"/>
    <w:rsid w:val="00702549"/>
    <w:rsid w:val="0071585F"/>
    <w:rsid w:val="007205CF"/>
    <w:rsid w:val="0072271C"/>
    <w:rsid w:val="00755109"/>
    <w:rsid w:val="00767751"/>
    <w:rsid w:val="00790877"/>
    <w:rsid w:val="007B19BD"/>
    <w:rsid w:val="007C5F7D"/>
    <w:rsid w:val="007D0B34"/>
    <w:rsid w:val="007D4EAB"/>
    <w:rsid w:val="007D788D"/>
    <w:rsid w:val="007E7325"/>
    <w:rsid w:val="007F0E91"/>
    <w:rsid w:val="00802C83"/>
    <w:rsid w:val="00803497"/>
    <w:rsid w:val="008045DD"/>
    <w:rsid w:val="00831EFA"/>
    <w:rsid w:val="00836F30"/>
    <w:rsid w:val="00841889"/>
    <w:rsid w:val="008A50A2"/>
    <w:rsid w:val="009217AE"/>
    <w:rsid w:val="00956C8E"/>
    <w:rsid w:val="00980031"/>
    <w:rsid w:val="009817D2"/>
    <w:rsid w:val="009879CC"/>
    <w:rsid w:val="00995309"/>
    <w:rsid w:val="0099746E"/>
    <w:rsid w:val="009C065F"/>
    <w:rsid w:val="009E38F8"/>
    <w:rsid w:val="00A06921"/>
    <w:rsid w:val="00A13EF4"/>
    <w:rsid w:val="00A20F49"/>
    <w:rsid w:val="00A56E70"/>
    <w:rsid w:val="00A62EB9"/>
    <w:rsid w:val="00A74BAE"/>
    <w:rsid w:val="00AA4CBA"/>
    <w:rsid w:val="00AE2D7B"/>
    <w:rsid w:val="00AF395E"/>
    <w:rsid w:val="00B04336"/>
    <w:rsid w:val="00B1657E"/>
    <w:rsid w:val="00B2324C"/>
    <w:rsid w:val="00B270C9"/>
    <w:rsid w:val="00B31925"/>
    <w:rsid w:val="00B82EB3"/>
    <w:rsid w:val="00BC0659"/>
    <w:rsid w:val="00BE5E67"/>
    <w:rsid w:val="00C42916"/>
    <w:rsid w:val="00C713E7"/>
    <w:rsid w:val="00C74DCE"/>
    <w:rsid w:val="00CE59AF"/>
    <w:rsid w:val="00D33460"/>
    <w:rsid w:val="00D87A8F"/>
    <w:rsid w:val="00DD7B9E"/>
    <w:rsid w:val="00E05C0D"/>
    <w:rsid w:val="00E14BE0"/>
    <w:rsid w:val="00E87D7E"/>
    <w:rsid w:val="00E910DA"/>
    <w:rsid w:val="00EA7450"/>
    <w:rsid w:val="00EC652B"/>
    <w:rsid w:val="00F17854"/>
    <w:rsid w:val="00F30B2D"/>
    <w:rsid w:val="00F37136"/>
    <w:rsid w:val="00F50062"/>
    <w:rsid w:val="00F50942"/>
    <w:rsid w:val="00F80221"/>
    <w:rsid w:val="00F9120C"/>
    <w:rsid w:val="00F963F4"/>
    <w:rsid w:val="00F96C7C"/>
    <w:rsid w:val="00FA29F5"/>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E87D7E"/>
    <w:rPr>
      <w:sz w:val="16"/>
      <w:szCs w:val="16"/>
    </w:rPr>
  </w:style>
  <w:style w:type="paragraph" w:styleId="Komentrateksts">
    <w:name w:val="annotation text"/>
    <w:basedOn w:val="Parasts"/>
    <w:link w:val="KomentratekstsRakstz"/>
    <w:uiPriority w:val="99"/>
    <w:semiHidden/>
    <w:unhideWhenUsed/>
    <w:rsid w:val="00E87D7E"/>
    <w:rPr>
      <w:sz w:val="20"/>
      <w:szCs w:val="20"/>
    </w:rPr>
  </w:style>
  <w:style w:type="character" w:customStyle="1" w:styleId="KomentratekstsRakstz">
    <w:name w:val="Komentāra teksts Rakstz."/>
    <w:basedOn w:val="Noklusjumarindkopasfonts"/>
    <w:link w:val="Komentrateksts"/>
    <w:uiPriority w:val="99"/>
    <w:semiHidden/>
    <w:rsid w:val="00E87D7E"/>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87D7E"/>
    <w:rPr>
      <w:b/>
      <w:bCs/>
    </w:rPr>
  </w:style>
  <w:style w:type="character" w:customStyle="1" w:styleId="KomentratmaRakstz">
    <w:name w:val="Komentāra tēma Rakstz."/>
    <w:basedOn w:val="KomentratekstsRakstz"/>
    <w:link w:val="Komentratma"/>
    <w:uiPriority w:val="99"/>
    <w:semiHidden/>
    <w:rsid w:val="00E87D7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vs.iub.gov.lv/show/71679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F8DB0-563F-4225-B18E-2D589C6B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4896</Words>
  <Characters>2791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Agita Forande</cp:lastModifiedBy>
  <cp:revision>2</cp:revision>
  <cp:lastPrinted>2023-06-07T12:30:00Z</cp:lastPrinted>
  <dcterms:created xsi:type="dcterms:W3CDTF">2023-06-08T08:55:00Z</dcterms:created>
  <dcterms:modified xsi:type="dcterms:W3CDTF">2023-06-08T08:55:00Z</dcterms:modified>
</cp:coreProperties>
</file>