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2A4A" w14:textId="3069AE22" w:rsidR="00B71AC8" w:rsidRPr="00EB1A43" w:rsidRDefault="005731BD" w:rsidP="004062B7">
      <w:pPr>
        <w:suppressAutoHyphens/>
        <w:spacing w:after="0" w:line="240" w:lineRule="auto"/>
        <w:ind w:left="2160"/>
        <w:jc w:val="right"/>
        <w:rPr>
          <w:rFonts w:ascii="Times New Roman" w:hAnsi="Times New Roman" w:cs="Times New Roman"/>
          <w:bCs/>
          <w:color w:val="000000" w:themeColor="text1"/>
          <w:sz w:val="24"/>
          <w:szCs w:val="24"/>
          <w:lang w:eastAsia="ar-SA"/>
        </w:rPr>
      </w:pPr>
      <w:r>
        <w:rPr>
          <w:rFonts w:ascii="Times New Roman" w:hAnsi="Times New Roman" w:cs="Times New Roman"/>
          <w:bCs/>
          <w:color w:val="000000" w:themeColor="text1"/>
          <w:sz w:val="24"/>
          <w:szCs w:val="24"/>
          <w:lang w:eastAsia="ar-SA"/>
        </w:rPr>
        <w:t xml:space="preserve"> </w:t>
      </w:r>
      <w:r w:rsidR="00923C2E">
        <w:rPr>
          <w:rFonts w:ascii="Times New Roman" w:hAnsi="Times New Roman" w:cs="Times New Roman"/>
          <w:bCs/>
          <w:color w:val="000000" w:themeColor="text1"/>
          <w:sz w:val="24"/>
          <w:szCs w:val="24"/>
          <w:lang w:eastAsia="ar-SA"/>
        </w:rPr>
        <w:t>4</w:t>
      </w:r>
      <w:r w:rsidR="00F001A7" w:rsidRPr="00EB1A43">
        <w:rPr>
          <w:rFonts w:ascii="Times New Roman" w:hAnsi="Times New Roman" w:cs="Times New Roman"/>
          <w:bCs/>
          <w:color w:val="000000" w:themeColor="text1"/>
          <w:sz w:val="24"/>
          <w:szCs w:val="24"/>
          <w:lang w:eastAsia="ar-SA"/>
        </w:rPr>
        <w:t xml:space="preserve">.pielikums </w:t>
      </w:r>
    </w:p>
    <w:p w14:paraId="7E41990B" w14:textId="684BC100" w:rsidR="00354B68" w:rsidRDefault="00354B68" w:rsidP="00354B68">
      <w:pPr>
        <w:tabs>
          <w:tab w:val="left" w:pos="8505"/>
          <w:tab w:val="left" w:pos="9638"/>
        </w:tabs>
        <w:suppressAutoHyphens/>
        <w:spacing w:after="0" w:line="240" w:lineRule="auto"/>
        <w:ind w:left="2160"/>
        <w:jc w:val="right"/>
        <w:rPr>
          <w:rFonts w:ascii="Times New Roman" w:eastAsiaTheme="minorHAnsi" w:hAnsi="Times New Roman" w:cs="Times New Roman"/>
          <w:bCs/>
          <w:color w:val="000000"/>
          <w:sz w:val="24"/>
          <w:szCs w:val="24"/>
          <w:lang w:eastAsia="ar-SA"/>
        </w:rPr>
      </w:pPr>
      <w:r>
        <w:rPr>
          <w:rFonts w:ascii="Times New Roman" w:hAnsi="Times New Roman" w:cs="Times New Roman"/>
          <w:bCs/>
          <w:color w:val="000000"/>
          <w:sz w:val="24"/>
          <w:szCs w:val="24"/>
          <w:lang w:eastAsia="ar-SA"/>
        </w:rPr>
        <w:t>Iepirkuma  (identifikācijas Nr.</w:t>
      </w:r>
      <w:r>
        <w:rPr>
          <w:rFonts w:ascii="Times New Roman" w:hAnsi="Times New Roman" w:cs="Times New Roman"/>
        </w:rPr>
        <w:t xml:space="preserve"> </w:t>
      </w:r>
      <w:r w:rsidR="00335A1C" w:rsidRPr="00335A1C">
        <w:rPr>
          <w:rFonts w:ascii="Times New Roman" w:hAnsi="Times New Roman" w:cs="Times New Roman"/>
          <w:bCs/>
          <w:color w:val="000000"/>
          <w:sz w:val="24"/>
          <w:szCs w:val="24"/>
          <w:lang w:eastAsia="ar-SA"/>
        </w:rPr>
        <w:t>RVPIKSD 2024/24</w:t>
      </w:r>
      <w:r>
        <w:rPr>
          <w:rFonts w:ascii="Times New Roman" w:hAnsi="Times New Roman" w:cs="Times New Roman"/>
          <w:bCs/>
          <w:color w:val="000000"/>
          <w:sz w:val="24"/>
          <w:szCs w:val="24"/>
          <w:lang w:eastAsia="ar-SA"/>
        </w:rPr>
        <w:t xml:space="preserve">)  nolikumam </w:t>
      </w:r>
    </w:p>
    <w:p w14:paraId="54CB344E" w14:textId="77777777" w:rsidR="00382FE6" w:rsidRPr="00EB1A43" w:rsidRDefault="00382FE6" w:rsidP="004062B7">
      <w:pPr>
        <w:suppressAutoHyphens/>
        <w:spacing w:after="0" w:line="240" w:lineRule="auto"/>
        <w:jc w:val="center"/>
        <w:rPr>
          <w:rFonts w:ascii="Times New Roman" w:hAnsi="Times New Roman" w:cs="Times New Roman"/>
          <w:color w:val="000000" w:themeColor="text1"/>
          <w:sz w:val="24"/>
          <w:szCs w:val="24"/>
        </w:rPr>
      </w:pPr>
    </w:p>
    <w:p w14:paraId="12A271B3" w14:textId="368F9A61" w:rsidR="00382FE6" w:rsidRPr="00EB1A43" w:rsidRDefault="00382FE6" w:rsidP="004062B7">
      <w:pPr>
        <w:suppressAutoHyphens/>
        <w:spacing w:after="0" w:line="240" w:lineRule="auto"/>
        <w:jc w:val="center"/>
        <w:rPr>
          <w:rFonts w:ascii="Times New Roman" w:hAnsi="Times New Roman" w:cs="Times New Roman"/>
          <w:b/>
          <w:bCs/>
          <w:caps/>
          <w:color w:val="000000" w:themeColor="text1"/>
          <w:sz w:val="24"/>
          <w:szCs w:val="24"/>
          <w:lang w:eastAsia="ar-SA"/>
        </w:rPr>
      </w:pPr>
      <w:r w:rsidRPr="00EB1A43">
        <w:rPr>
          <w:rFonts w:ascii="Times New Roman" w:hAnsi="Times New Roman" w:cs="Times New Roman"/>
          <w:b/>
          <w:bCs/>
          <w:caps/>
          <w:color w:val="000000" w:themeColor="text1"/>
          <w:sz w:val="24"/>
          <w:szCs w:val="24"/>
          <w:lang w:eastAsia="ar-SA"/>
        </w:rPr>
        <w:t>Darba organizācijas apraksts</w:t>
      </w:r>
      <w:r w:rsidR="00E974CF" w:rsidRPr="00EB1A43">
        <w:rPr>
          <w:rStyle w:val="Vresatsauce"/>
          <w:rFonts w:ascii="Times New Roman" w:hAnsi="Times New Roman" w:cs="Times New Roman"/>
          <w:b/>
          <w:bCs/>
          <w:caps/>
          <w:color w:val="000000" w:themeColor="text1"/>
          <w:sz w:val="24"/>
          <w:szCs w:val="24"/>
          <w:lang w:eastAsia="ar-SA"/>
        </w:rPr>
        <w:footnoteReference w:id="1"/>
      </w:r>
    </w:p>
    <w:p w14:paraId="3D4E3DD6" w14:textId="01B5DE1D" w:rsidR="00E974CF" w:rsidRPr="00EB1A43" w:rsidRDefault="007C3ADC" w:rsidP="004062B7">
      <w:pPr>
        <w:suppressAutoHyphens/>
        <w:spacing w:after="0" w:line="240" w:lineRule="auto"/>
        <w:ind w:firstLine="709"/>
        <w:jc w:val="both"/>
        <w:rPr>
          <w:rFonts w:ascii="Times New Roman" w:hAnsi="Times New Roman" w:cs="Times New Roman"/>
          <w:color w:val="000000" w:themeColor="text1"/>
          <w:sz w:val="24"/>
          <w:szCs w:val="24"/>
        </w:rPr>
      </w:pPr>
      <w:r w:rsidRPr="00EB1A43">
        <w:rPr>
          <w:rFonts w:ascii="Times New Roman" w:hAnsi="Times New Roman" w:cs="Times New Roman"/>
          <w:i/>
          <w:color w:val="000000" w:themeColor="text1"/>
          <w:sz w:val="24"/>
          <w:szCs w:val="24"/>
        </w:rPr>
        <w:t>&lt;pretendenta nosaukums&gt;</w:t>
      </w:r>
      <w:r w:rsidRPr="00EB1A43">
        <w:rPr>
          <w:rFonts w:ascii="Times New Roman" w:hAnsi="Times New Roman" w:cs="Times New Roman"/>
          <w:color w:val="000000" w:themeColor="text1"/>
          <w:sz w:val="24"/>
          <w:szCs w:val="24"/>
        </w:rPr>
        <w:t xml:space="preserve"> apliecina, ka gadījumā, ja iepirkuma “</w:t>
      </w:r>
      <w:r w:rsidR="00335A1C" w:rsidRPr="00335A1C">
        <w:rPr>
          <w:rFonts w:ascii="Times New Roman" w:hAnsi="Times New Roman" w:cs="Times New Roman"/>
          <w:color w:val="000000" w:themeColor="text1"/>
          <w:sz w:val="24"/>
          <w:szCs w:val="24"/>
        </w:rPr>
        <w:t>Ēdināšanas pakalpojumi Rīgas Teikas vidusskolas vajadzībām 2025. gadā</w:t>
      </w:r>
      <w:r w:rsidRPr="00EB1A43">
        <w:rPr>
          <w:rFonts w:ascii="Times New Roman" w:hAnsi="Times New Roman" w:cs="Times New Roman"/>
          <w:color w:val="000000" w:themeColor="text1"/>
          <w:sz w:val="24"/>
          <w:szCs w:val="24"/>
        </w:rPr>
        <w:t>” (identifikācijas Nr.</w:t>
      </w:r>
      <w:r w:rsidR="00B92CAE" w:rsidRPr="00B92CAE">
        <w:rPr>
          <w:rFonts w:ascii="Times New Roman" w:hAnsi="Times New Roman" w:cs="Times New Roman"/>
          <w:bCs/>
          <w:color w:val="000000"/>
          <w:sz w:val="24"/>
          <w:szCs w:val="24"/>
          <w:lang w:eastAsia="ar-SA"/>
        </w:rPr>
        <w:t xml:space="preserve"> </w:t>
      </w:r>
      <w:r w:rsidR="00335A1C" w:rsidRPr="00335A1C">
        <w:rPr>
          <w:rFonts w:ascii="Times New Roman" w:hAnsi="Times New Roman" w:cs="Times New Roman"/>
          <w:bCs/>
          <w:color w:val="000000"/>
          <w:sz w:val="24"/>
          <w:szCs w:val="24"/>
          <w:lang w:eastAsia="ar-SA"/>
        </w:rPr>
        <w:t>RVPIKSD 2024/24</w:t>
      </w:r>
      <w:r w:rsidRPr="00EB1A43">
        <w:rPr>
          <w:rFonts w:ascii="Times New Roman" w:hAnsi="Times New Roman" w:cs="Times New Roman"/>
          <w:color w:val="000000" w:themeColor="text1"/>
          <w:sz w:val="24"/>
          <w:szCs w:val="24"/>
        </w:rPr>
        <w:t>)  (turpmāk – Iepirkums) rezultātā tiks noslēgts līgums par ēdināšanas pakalpojumu sniegšanu:</w:t>
      </w:r>
    </w:p>
    <w:p w14:paraId="1A0F39E9" w14:textId="1AB39848" w:rsidR="004062B7" w:rsidRDefault="004062B7" w:rsidP="00D42A88">
      <w:pPr>
        <w:suppressAutoHyphens/>
        <w:spacing w:after="0" w:line="240" w:lineRule="auto"/>
        <w:jc w:val="both"/>
        <w:rPr>
          <w:rFonts w:ascii="Times New Roman" w:hAnsi="Times New Roman" w:cs="Times New Roman"/>
          <w:color w:val="000000" w:themeColor="text1"/>
          <w:sz w:val="24"/>
          <w:szCs w:val="24"/>
        </w:rPr>
      </w:pPr>
    </w:p>
    <w:tbl>
      <w:tblPr>
        <w:tblStyle w:val="Reatabula"/>
        <w:tblW w:w="5000" w:type="pct"/>
        <w:tblLook w:val="04A0" w:firstRow="1" w:lastRow="0" w:firstColumn="1" w:lastColumn="0" w:noHBand="0" w:noVBand="1"/>
      </w:tblPr>
      <w:tblGrid>
        <w:gridCol w:w="9854"/>
      </w:tblGrid>
      <w:tr w:rsidR="00D42A88" w:rsidRPr="00EB1A43" w14:paraId="521C44C7" w14:textId="77777777" w:rsidTr="00E45175">
        <w:tc>
          <w:tcPr>
            <w:tcW w:w="5000" w:type="pct"/>
          </w:tcPr>
          <w:p w14:paraId="70E66777" w14:textId="2B1987D4" w:rsidR="006F380D" w:rsidRPr="00EB1A43" w:rsidRDefault="00D42A88" w:rsidP="00E45175">
            <w:pPr>
              <w:suppressAutoHyphens/>
              <w:jc w:val="both"/>
              <w:rPr>
                <w:rFonts w:ascii="Times New Roman" w:hAnsi="Times New Roman" w:cs="Times New Roman"/>
                <w:b/>
                <w:bCs/>
                <w:color w:val="000000" w:themeColor="text1"/>
                <w:sz w:val="24"/>
                <w:szCs w:val="24"/>
              </w:rPr>
            </w:pPr>
            <w:r w:rsidRPr="00EB1A43">
              <w:rPr>
                <w:rFonts w:ascii="Times New Roman" w:hAnsi="Times New Roman" w:cs="Times New Roman"/>
                <w:b/>
                <w:bCs/>
                <w:color w:val="000000" w:themeColor="text1"/>
                <w:sz w:val="24"/>
                <w:szCs w:val="24"/>
              </w:rPr>
              <w:t>Iestādes nosaukums un adrese</w:t>
            </w:r>
          </w:p>
        </w:tc>
      </w:tr>
      <w:tr w:rsidR="00D42A88" w:rsidRPr="00EB1A43" w14:paraId="635CF48E" w14:textId="77777777" w:rsidTr="00E45175">
        <w:tc>
          <w:tcPr>
            <w:tcW w:w="5000" w:type="pct"/>
          </w:tcPr>
          <w:p w14:paraId="21876C93" w14:textId="77777777" w:rsidR="00D42A88" w:rsidRPr="00EB1A43" w:rsidRDefault="00D42A88" w:rsidP="00E45175">
            <w:pPr>
              <w:suppressAutoHyphens/>
              <w:jc w:val="both"/>
              <w:rPr>
                <w:rFonts w:ascii="Times New Roman" w:hAnsi="Times New Roman" w:cs="Times New Roman"/>
                <w:b/>
                <w:bCs/>
                <w:color w:val="000000" w:themeColor="text1"/>
                <w:sz w:val="24"/>
                <w:szCs w:val="24"/>
              </w:rPr>
            </w:pPr>
          </w:p>
        </w:tc>
      </w:tr>
    </w:tbl>
    <w:p w14:paraId="001ECB6C" w14:textId="77777777" w:rsidR="00D42A88" w:rsidRPr="00EB1A43" w:rsidRDefault="00D42A88" w:rsidP="00D42A88">
      <w:pPr>
        <w:pStyle w:val="ListParagraph2"/>
        <w:numPr>
          <w:ilvl w:val="0"/>
          <w:numId w:val="2"/>
        </w:numPr>
        <w:tabs>
          <w:tab w:val="left" w:pos="1560"/>
        </w:tabs>
        <w:autoSpaceDE w:val="0"/>
        <w:autoSpaceDN w:val="0"/>
        <w:adjustRightInd w:val="0"/>
        <w:spacing w:after="0" w:line="240" w:lineRule="auto"/>
        <w:ind w:left="714" w:hanging="357"/>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ēdināšanas pakalpojumi tiks nodrošināti saskaņā ar šādiem </w:t>
      </w:r>
      <w:r w:rsidRPr="00EB1A43">
        <w:rPr>
          <w:rFonts w:ascii="Times New Roman" w:hAnsi="Times New Roman" w:cs="Times New Roman"/>
          <w:b/>
          <w:bCs/>
          <w:color w:val="000000" w:themeColor="text1"/>
          <w:sz w:val="24"/>
          <w:szCs w:val="24"/>
        </w:rPr>
        <w:t>darba procesiem: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559"/>
        <w:gridCol w:w="1701"/>
      </w:tblGrid>
      <w:tr w:rsidR="00D42A88" w:rsidRPr="00EB1A43" w14:paraId="44AF1A70" w14:textId="77777777" w:rsidTr="00E45175">
        <w:tc>
          <w:tcPr>
            <w:tcW w:w="953" w:type="dxa"/>
            <w:shd w:val="clear" w:color="auto" w:fill="auto"/>
          </w:tcPr>
          <w:p w14:paraId="386EADED"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Nr.p.k.</w:t>
            </w:r>
          </w:p>
        </w:tc>
        <w:tc>
          <w:tcPr>
            <w:tcW w:w="5676" w:type="dxa"/>
            <w:shd w:val="clear" w:color="auto" w:fill="auto"/>
          </w:tcPr>
          <w:p w14:paraId="09131FB7"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Ēdināšanas pakalpojuma nodrošināšanas darba procesu stadija</w:t>
            </w:r>
          </w:p>
        </w:tc>
        <w:tc>
          <w:tcPr>
            <w:tcW w:w="1559" w:type="dxa"/>
            <w:shd w:val="clear" w:color="auto" w:fill="auto"/>
          </w:tcPr>
          <w:p w14:paraId="3DB45D56"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Ēdināšanas pakalpojuma nodrošināšanas darba procesu apraksts</w:t>
            </w:r>
          </w:p>
        </w:tc>
        <w:tc>
          <w:tcPr>
            <w:tcW w:w="1701" w:type="dxa"/>
            <w:shd w:val="clear" w:color="auto" w:fill="auto"/>
          </w:tcPr>
          <w:p w14:paraId="4B6D8C60"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Atbildīgā speciālista/ darbinieka amats</w:t>
            </w:r>
          </w:p>
        </w:tc>
      </w:tr>
      <w:tr w:rsidR="00D42A88" w:rsidRPr="00EB1A43" w14:paraId="4E311D24" w14:textId="77777777" w:rsidTr="00E45175">
        <w:tc>
          <w:tcPr>
            <w:tcW w:w="953" w:type="dxa"/>
            <w:shd w:val="clear" w:color="auto" w:fill="auto"/>
          </w:tcPr>
          <w:p w14:paraId="0C96132E" w14:textId="77777777" w:rsidR="00D42A88" w:rsidRPr="00EB1A43" w:rsidRDefault="00D42A88" w:rsidP="00D42A88">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746A930A"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 xml:space="preserve">produktu sagāde: piegādātāju izvēles kārtība; produktu pasūtīšanas kārtība; </w:t>
            </w:r>
          </w:p>
        </w:tc>
        <w:tc>
          <w:tcPr>
            <w:tcW w:w="1559" w:type="dxa"/>
            <w:shd w:val="clear" w:color="auto" w:fill="auto"/>
          </w:tcPr>
          <w:p w14:paraId="3797E3D7"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590C76A9"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42A88" w:rsidRPr="00EB1A43" w14:paraId="3B46C210" w14:textId="77777777" w:rsidTr="00E45175">
        <w:tc>
          <w:tcPr>
            <w:tcW w:w="953" w:type="dxa"/>
            <w:shd w:val="clear" w:color="auto" w:fill="auto"/>
          </w:tcPr>
          <w:p w14:paraId="4D37CF8F" w14:textId="77777777" w:rsidR="00D42A88" w:rsidRPr="00EB1A43" w:rsidRDefault="00D42A88" w:rsidP="00D42A88">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712286D9" w14:textId="77777777" w:rsidR="00D42A88" w:rsidRPr="00EB1A43" w:rsidRDefault="00D42A88" w:rsidP="00E45175">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produktu (izejvielu) pieņemšana: izejvielu pieņemšanas kritēriji; kvalitātes kontroles dokumenti  izejvielu pieņemšanā;</w:t>
            </w:r>
          </w:p>
        </w:tc>
        <w:tc>
          <w:tcPr>
            <w:tcW w:w="1559" w:type="dxa"/>
            <w:shd w:val="clear" w:color="auto" w:fill="auto"/>
          </w:tcPr>
          <w:p w14:paraId="549C343B"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078CAFF3"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42A88" w:rsidRPr="00EB1A43" w14:paraId="200FB338" w14:textId="77777777" w:rsidTr="00E45175">
        <w:tc>
          <w:tcPr>
            <w:tcW w:w="953" w:type="dxa"/>
            <w:shd w:val="clear" w:color="auto" w:fill="auto"/>
          </w:tcPr>
          <w:p w14:paraId="248FAFEA" w14:textId="77777777" w:rsidR="00D42A88" w:rsidRPr="00EB1A43" w:rsidRDefault="00D42A88" w:rsidP="00D42A88">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375C5E27"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produktu (izejvielu) uzglabāšana: izejvielu uzglabāšanas vietu apraksti; kvalitātes kontroles dokumenti  izejvielu uzglabāšanā;</w:t>
            </w:r>
          </w:p>
        </w:tc>
        <w:tc>
          <w:tcPr>
            <w:tcW w:w="1559" w:type="dxa"/>
            <w:shd w:val="clear" w:color="auto" w:fill="auto"/>
          </w:tcPr>
          <w:p w14:paraId="6D94D635"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01EA9982"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42A88" w:rsidRPr="00EB1A43" w14:paraId="14A7017B" w14:textId="77777777" w:rsidTr="00E45175">
        <w:tc>
          <w:tcPr>
            <w:tcW w:w="953" w:type="dxa"/>
            <w:shd w:val="clear" w:color="auto" w:fill="auto"/>
          </w:tcPr>
          <w:p w14:paraId="155B3E85" w14:textId="77777777" w:rsidR="00D42A88" w:rsidRPr="00EB1A43" w:rsidRDefault="00D42A88" w:rsidP="00D42A88">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687A3042"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produktu (izejvielu) pirmapstrāde: dārzeņu/gaļas/zivju  pirmapstrādes procesu apraksts, ietverot izmantojamās iekārtas, darba vietas; kvalitātes kontroles dokumenti  izejvielu pirmapstrādē;</w:t>
            </w:r>
          </w:p>
        </w:tc>
        <w:tc>
          <w:tcPr>
            <w:tcW w:w="1559" w:type="dxa"/>
            <w:shd w:val="clear" w:color="auto" w:fill="auto"/>
          </w:tcPr>
          <w:p w14:paraId="329A39CE"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61A867E7"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42A88" w:rsidRPr="00EB1A43" w14:paraId="6005823F" w14:textId="77777777" w:rsidTr="00E45175">
        <w:tc>
          <w:tcPr>
            <w:tcW w:w="953" w:type="dxa"/>
            <w:shd w:val="clear" w:color="auto" w:fill="auto"/>
          </w:tcPr>
          <w:p w14:paraId="65F0891F" w14:textId="77777777" w:rsidR="00D42A88" w:rsidRPr="00EB1A43" w:rsidRDefault="00D42A88" w:rsidP="00D42A88">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57C9685D"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pusfabrikātu uzglabāšana: pusfabrikātu uzglabāšanas vietu apraksti; kvalitātes kontroles dokumenti  pusfabrikātu uzglabāšanā;</w:t>
            </w:r>
          </w:p>
        </w:tc>
        <w:tc>
          <w:tcPr>
            <w:tcW w:w="1559" w:type="dxa"/>
            <w:shd w:val="clear" w:color="auto" w:fill="auto"/>
          </w:tcPr>
          <w:p w14:paraId="64B5AC86"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28A86A5F"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42A88" w:rsidRPr="00EB1A43" w14:paraId="57C0FEEC" w14:textId="77777777" w:rsidTr="00E45175">
        <w:tc>
          <w:tcPr>
            <w:tcW w:w="953" w:type="dxa"/>
            <w:shd w:val="clear" w:color="auto" w:fill="auto"/>
          </w:tcPr>
          <w:p w14:paraId="4E628C85" w14:textId="77777777" w:rsidR="00D42A88" w:rsidRPr="00EB1A43" w:rsidRDefault="00D42A88" w:rsidP="00D42A88">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35B597CB"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ēdienu gatavošana: karsto un auksto ēdienu ražošanas procesu apraksts ietverot izmantojamās iekārtas, darba vietas; kvalitātes kontroles dokumenti  ēdienu gatavošanā;</w:t>
            </w:r>
          </w:p>
        </w:tc>
        <w:tc>
          <w:tcPr>
            <w:tcW w:w="1559" w:type="dxa"/>
            <w:shd w:val="clear" w:color="auto" w:fill="auto"/>
          </w:tcPr>
          <w:p w14:paraId="128D198C"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4A19B852"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42A88" w:rsidRPr="00EB1A43" w14:paraId="2DD0A4F1" w14:textId="77777777" w:rsidTr="00E45175">
        <w:tc>
          <w:tcPr>
            <w:tcW w:w="953" w:type="dxa"/>
            <w:shd w:val="clear" w:color="auto" w:fill="auto"/>
          </w:tcPr>
          <w:p w14:paraId="22009B79" w14:textId="77777777" w:rsidR="00D42A88" w:rsidRPr="00EB1A43" w:rsidRDefault="00D42A88" w:rsidP="00D42A88">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0C592E7A"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ēdienu uzglabāšana: gatavo ēdienu uzglabāšanas vietu apraksti; kvalitātes kontroles dokumenti  ēdienu uzglabāšanā;</w:t>
            </w:r>
          </w:p>
        </w:tc>
        <w:tc>
          <w:tcPr>
            <w:tcW w:w="1559" w:type="dxa"/>
            <w:shd w:val="clear" w:color="auto" w:fill="auto"/>
          </w:tcPr>
          <w:p w14:paraId="5458B6AA"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6A64885F"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42A88" w:rsidRPr="00EB1A43" w14:paraId="450F9F24" w14:textId="77777777" w:rsidTr="00E45175">
        <w:tc>
          <w:tcPr>
            <w:tcW w:w="953" w:type="dxa"/>
            <w:shd w:val="clear" w:color="auto" w:fill="auto"/>
          </w:tcPr>
          <w:p w14:paraId="385471C4" w14:textId="77777777" w:rsidR="00D42A88" w:rsidRPr="00EB1A43" w:rsidRDefault="00D42A88" w:rsidP="00D42A88">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1A9D393B"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ēdienu izsniegšana: ēdienu izsniegšanas vietu apraksti, ietverot izmantojamās iekārtas, cilvēkresursus; kvalitātes kontroles dokumenti  ēdienu izsniegšanā;</w:t>
            </w:r>
          </w:p>
        </w:tc>
        <w:tc>
          <w:tcPr>
            <w:tcW w:w="1559" w:type="dxa"/>
            <w:shd w:val="clear" w:color="auto" w:fill="auto"/>
          </w:tcPr>
          <w:p w14:paraId="1CA95BC9"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2832EF35"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42A88" w:rsidRPr="00EB1A43" w14:paraId="46D299FD" w14:textId="77777777" w:rsidTr="00E45175">
        <w:tc>
          <w:tcPr>
            <w:tcW w:w="953" w:type="dxa"/>
            <w:shd w:val="clear" w:color="auto" w:fill="auto"/>
          </w:tcPr>
          <w:p w14:paraId="03590E96" w14:textId="77777777" w:rsidR="00D42A88" w:rsidRPr="00EB1A43" w:rsidRDefault="00D42A88" w:rsidP="00D42A88">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0A913031"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 xml:space="preserve">zāles trauku savākšana, mazgāšana: netīro trauku savākšanas un mazgāšanas un tīro trauku uzglabāšanas procesu apraksts, ietverot izmantojamās iekārtas, darba vietas; kvalitātes kontroles dokumenti  trauku </w:t>
            </w:r>
            <w:r w:rsidRPr="00EB1A43">
              <w:rPr>
                <w:rFonts w:ascii="Times New Roman" w:eastAsia="Times New Roman" w:hAnsi="Times New Roman" w:cs="Times New Roman"/>
                <w:color w:val="000000" w:themeColor="text1"/>
                <w:sz w:val="24"/>
                <w:szCs w:val="24"/>
              </w:rPr>
              <w:lastRenderedPageBreak/>
              <w:t>mazgāšanā.</w:t>
            </w:r>
          </w:p>
        </w:tc>
        <w:tc>
          <w:tcPr>
            <w:tcW w:w="1559" w:type="dxa"/>
            <w:shd w:val="clear" w:color="auto" w:fill="auto"/>
          </w:tcPr>
          <w:p w14:paraId="7EF274E7"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367BCF75"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42A88" w:rsidRPr="00EB1A43" w14:paraId="62C0F283" w14:textId="77777777" w:rsidTr="00E45175">
        <w:tc>
          <w:tcPr>
            <w:tcW w:w="953" w:type="dxa"/>
            <w:shd w:val="clear" w:color="auto" w:fill="auto"/>
          </w:tcPr>
          <w:p w14:paraId="186A5AA0" w14:textId="77777777" w:rsidR="00D42A88" w:rsidRPr="00EB1A43" w:rsidRDefault="00D42A88" w:rsidP="00D42A88">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43236C30"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gatavā ēdiena piegāde, iekļaujot šādu informāciju:</w:t>
            </w:r>
          </w:p>
          <w:p w14:paraId="40FA52E4" w14:textId="77777777" w:rsidR="00D42A88" w:rsidRPr="00EB1A43" w:rsidRDefault="00D42A88" w:rsidP="00D42A88">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 xml:space="preserve">vieta (adrese), kurā tiks gatavots ēdiens; </w:t>
            </w:r>
          </w:p>
          <w:p w14:paraId="5E4ACC6B" w14:textId="77777777" w:rsidR="00D42A88" w:rsidRPr="00EB1A43" w:rsidRDefault="00D42A88" w:rsidP="00D42A88">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 xml:space="preserve">kādā veidā gatavais ēdiens tiks piegādāts uz Iestādes telpām, ar informāciju par tehnoloģisko aprīkojumu, kas nepieciešams, lai līdz izsniegšanas brīdim nodrošinātu ēdiena temperatūru un drošību; </w:t>
            </w:r>
          </w:p>
          <w:p w14:paraId="76910BAB" w14:textId="77777777" w:rsidR="00D42A88" w:rsidRPr="00EB1A43" w:rsidRDefault="00D42A88" w:rsidP="00D42A88">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 xml:space="preserve">cik ilgā laikā gatavais ēdiens tiks piegādāts uz Iestādes telpām; </w:t>
            </w:r>
          </w:p>
          <w:p w14:paraId="3579A76B" w14:textId="77777777" w:rsidR="00D42A88" w:rsidRPr="00EB1A43" w:rsidRDefault="00D42A88" w:rsidP="00D42A88">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ar kādu autotransportu gatavais ēdiens tiks piegādāts uz Iestādes telpām (autotransporta skaits; aprīkojums; vai ir pretendenta īpašumā, nomā vai kā ārpakalpojums);</w:t>
            </w:r>
          </w:p>
          <w:p w14:paraId="171876EF" w14:textId="77777777" w:rsidR="00D42A88" w:rsidRPr="00EB1A43" w:rsidRDefault="00D42A88" w:rsidP="00D42A88">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kā tiks nodrošināta atkritumu savākšana Iestādes telpās, izvešana no Iestādes telpām un apsaimniekošana.</w:t>
            </w:r>
          </w:p>
        </w:tc>
        <w:tc>
          <w:tcPr>
            <w:tcW w:w="1559" w:type="dxa"/>
            <w:shd w:val="clear" w:color="auto" w:fill="auto"/>
          </w:tcPr>
          <w:p w14:paraId="2097781B"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6DE77002" w14:textId="77777777" w:rsidR="00D42A88" w:rsidRPr="00EB1A43" w:rsidRDefault="00D42A88" w:rsidP="00E4517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bl>
    <w:p w14:paraId="1F247A1D" w14:textId="77777777" w:rsidR="00D42A88" w:rsidRPr="00EB1A43" w:rsidRDefault="00D42A88" w:rsidP="00D42A88">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themeColor="text1"/>
          <w:sz w:val="24"/>
          <w:szCs w:val="24"/>
          <w:highlight w:val="green"/>
        </w:rPr>
      </w:pPr>
    </w:p>
    <w:p w14:paraId="556D5AF0" w14:textId="77777777" w:rsidR="00D42A88" w:rsidRPr="00EB1A43" w:rsidRDefault="00D42A88" w:rsidP="00D42A88">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r w:rsidRPr="00EB1A43">
        <w:rPr>
          <w:rFonts w:ascii="Times New Roman" w:eastAsia="TimesNewRoman" w:hAnsi="Times New Roman" w:cs="Times New Roman"/>
          <w:b/>
          <w:color w:val="000000" w:themeColor="text1"/>
          <w:sz w:val="24"/>
          <w:szCs w:val="24"/>
        </w:rPr>
        <w:t>papildus tehniskais aprīkojums nav nepieciešams</w:t>
      </w:r>
      <w:r w:rsidRPr="00EB1A43">
        <w:rPr>
          <w:rFonts w:ascii="Times New Roman" w:eastAsia="TimesNewRoman" w:hAnsi="Times New Roman" w:cs="Times New Roman"/>
          <w:color w:val="000000" w:themeColor="text1"/>
          <w:sz w:val="24"/>
          <w:szCs w:val="24"/>
        </w:rPr>
        <w:t>, jo tehniskajā specifikācijā norādītais tehniskais aprīkojums ir pietiekošs ēdināšanas pakalpojuma nodrošināšanai;</w:t>
      </w:r>
    </w:p>
    <w:p w14:paraId="5F469010" w14:textId="77777777" w:rsidR="00D42A88" w:rsidRPr="00EB1A43" w:rsidRDefault="00D42A88" w:rsidP="00D42A88">
      <w:pPr>
        <w:pStyle w:val="ListParagraph2"/>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31119EB7" w14:textId="77777777" w:rsidR="00D42A88" w:rsidRPr="00EB1A43" w:rsidRDefault="00D42A88" w:rsidP="00D42A88">
      <w:pPr>
        <w:pStyle w:val="ListParagraph2"/>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r w:rsidRPr="00EB1A43">
        <w:rPr>
          <w:rFonts w:ascii="Times New Roman" w:eastAsia="TimesNewRoman" w:hAnsi="Times New Roman" w:cs="Times New Roman"/>
          <w:i/>
          <w:color w:val="000000" w:themeColor="text1"/>
          <w:sz w:val="24"/>
          <w:szCs w:val="24"/>
        </w:rPr>
        <w:t>pretendents var izvēlies vienu no variantiem, lieko variantu dzēšot,</w:t>
      </w:r>
    </w:p>
    <w:p w14:paraId="0C029159" w14:textId="77777777" w:rsidR="00D42A88" w:rsidRPr="00EB1A43" w:rsidRDefault="00D42A88" w:rsidP="00D42A88">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14:paraId="598EC604" w14:textId="77777777" w:rsidR="00D42A88" w:rsidRPr="00EB1A43" w:rsidRDefault="00D42A88" w:rsidP="00D42A88">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i/>
          <w:color w:val="000000" w:themeColor="text1"/>
          <w:sz w:val="24"/>
          <w:szCs w:val="24"/>
        </w:rPr>
      </w:pPr>
      <w:r w:rsidRPr="00EB1A43">
        <w:rPr>
          <w:rFonts w:ascii="Times New Roman" w:hAnsi="Times New Roman" w:cs="Times New Roman"/>
          <w:b/>
          <w:color w:val="000000" w:themeColor="text1"/>
          <w:sz w:val="24"/>
          <w:szCs w:val="24"/>
        </w:rPr>
        <w:t>tiks nodrošināts  šāds tehniskais aprīkojums</w:t>
      </w:r>
      <w:r w:rsidRPr="00EB1A43">
        <w:rPr>
          <w:rFonts w:ascii="Times New Roman" w:hAnsi="Times New Roman" w:cs="Times New Roman"/>
          <w:color w:val="000000" w:themeColor="text1"/>
          <w:sz w:val="24"/>
          <w:szCs w:val="24"/>
        </w:rPr>
        <w:t>, inventārs un saimniecības pamatlīdzekļi</w:t>
      </w:r>
      <w:r w:rsidRPr="00EB1A43">
        <w:rPr>
          <w:rStyle w:val="Vresatsauce"/>
          <w:rFonts w:ascii="Times New Roman" w:hAnsi="Times New Roman" w:cs="Times New Roman"/>
          <w:color w:val="000000" w:themeColor="text1"/>
          <w:sz w:val="24"/>
          <w:szCs w:val="24"/>
        </w:rPr>
        <w:footnoteReference w:id="2"/>
      </w:r>
      <w:r w:rsidRPr="00EB1A43">
        <w:rPr>
          <w:rFonts w:ascii="Times New Roman" w:hAnsi="Times New Roman" w:cs="Times New Roman"/>
          <w:color w:val="000000" w:themeColor="text1"/>
          <w:sz w:val="24"/>
          <w:szCs w:val="24"/>
          <w:lang w:eastAsia="ar-SA"/>
        </w:rPr>
        <w:t>:</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
        <w:gridCol w:w="5465"/>
        <w:gridCol w:w="2271"/>
        <w:gridCol w:w="765"/>
      </w:tblGrid>
      <w:tr w:rsidR="00D42A88" w:rsidRPr="00EB1A43" w14:paraId="4D8444A6" w14:textId="77777777" w:rsidTr="00E45175">
        <w:trPr>
          <w:trHeight w:val="452"/>
        </w:trPr>
        <w:tc>
          <w:tcPr>
            <w:tcW w:w="0" w:type="auto"/>
            <w:vAlign w:val="center"/>
          </w:tcPr>
          <w:p w14:paraId="554F7A9E" w14:textId="77777777" w:rsidR="00D42A88" w:rsidRPr="00EB1A43" w:rsidRDefault="00D42A88" w:rsidP="00E45175">
            <w:pPr>
              <w:keepNext/>
              <w:suppressAutoHyphens/>
              <w:snapToGrid w:val="0"/>
              <w:spacing w:after="0" w:line="240" w:lineRule="auto"/>
              <w:jc w:val="center"/>
              <w:outlineLvl w:val="1"/>
              <w:rPr>
                <w:rFonts w:ascii="Times New Roman" w:hAnsi="Times New Roman" w:cs="Times New Roman"/>
                <w:b/>
                <w:bCs/>
                <w:color w:val="000000" w:themeColor="text1"/>
                <w:sz w:val="24"/>
                <w:szCs w:val="24"/>
                <w:lang w:eastAsia="ar-SA"/>
              </w:rPr>
            </w:pPr>
            <w:r w:rsidRPr="00EB1A43">
              <w:rPr>
                <w:rFonts w:ascii="Times New Roman" w:hAnsi="Times New Roman" w:cs="Times New Roman"/>
                <w:b/>
                <w:bCs/>
                <w:color w:val="000000" w:themeColor="text1"/>
                <w:sz w:val="24"/>
                <w:szCs w:val="24"/>
                <w:lang w:eastAsia="ar-SA"/>
              </w:rPr>
              <w:t>Nr.p.k.</w:t>
            </w:r>
          </w:p>
        </w:tc>
        <w:tc>
          <w:tcPr>
            <w:tcW w:w="0" w:type="auto"/>
            <w:vAlign w:val="center"/>
          </w:tcPr>
          <w:p w14:paraId="651FE034" w14:textId="77777777" w:rsidR="00D42A88" w:rsidRPr="00EB1A43" w:rsidRDefault="00D42A88" w:rsidP="00E45175">
            <w:pPr>
              <w:keepNext/>
              <w:suppressAutoHyphens/>
              <w:snapToGrid w:val="0"/>
              <w:spacing w:after="0" w:line="240" w:lineRule="auto"/>
              <w:jc w:val="center"/>
              <w:outlineLvl w:val="1"/>
              <w:rPr>
                <w:rFonts w:ascii="Times New Roman" w:hAnsi="Times New Roman" w:cs="Times New Roman"/>
                <w:b/>
                <w:color w:val="000000" w:themeColor="text1"/>
                <w:sz w:val="24"/>
                <w:szCs w:val="24"/>
                <w:lang w:eastAsia="ar-SA"/>
              </w:rPr>
            </w:pPr>
            <w:r w:rsidRPr="00EB1A43">
              <w:rPr>
                <w:rFonts w:ascii="Times New Roman" w:hAnsi="Times New Roman" w:cs="Times New Roman"/>
                <w:b/>
                <w:bCs/>
                <w:color w:val="000000" w:themeColor="text1"/>
                <w:sz w:val="24"/>
                <w:szCs w:val="24"/>
                <w:lang w:eastAsia="ar-SA"/>
              </w:rPr>
              <w:t>Inventāra un saimniecības pamatlīdzekļu nosaukums</w:t>
            </w:r>
          </w:p>
        </w:tc>
        <w:tc>
          <w:tcPr>
            <w:tcW w:w="0" w:type="auto"/>
            <w:vAlign w:val="center"/>
          </w:tcPr>
          <w:p w14:paraId="12E91ECF" w14:textId="77777777" w:rsidR="00D42A88" w:rsidRPr="00EB1A43" w:rsidRDefault="00D42A88" w:rsidP="00E45175">
            <w:pPr>
              <w:suppressAutoHyphens/>
              <w:snapToGrid w:val="0"/>
              <w:spacing w:after="0" w:line="240" w:lineRule="auto"/>
              <w:jc w:val="center"/>
              <w:rPr>
                <w:rFonts w:ascii="Times New Roman" w:hAnsi="Times New Roman" w:cs="Times New Roman"/>
                <w:b/>
                <w:color w:val="000000" w:themeColor="text1"/>
                <w:sz w:val="24"/>
                <w:szCs w:val="24"/>
                <w:lang w:eastAsia="ar-SA"/>
              </w:rPr>
            </w:pPr>
            <w:r w:rsidRPr="00EB1A43">
              <w:rPr>
                <w:rFonts w:ascii="Times New Roman" w:hAnsi="Times New Roman" w:cs="Times New Roman"/>
                <w:b/>
                <w:color w:val="000000" w:themeColor="text1"/>
                <w:sz w:val="24"/>
                <w:szCs w:val="24"/>
                <w:lang w:eastAsia="ar-SA"/>
              </w:rPr>
              <w:t>Izgatavošanas datums</w:t>
            </w:r>
          </w:p>
        </w:tc>
        <w:tc>
          <w:tcPr>
            <w:tcW w:w="765" w:type="dxa"/>
            <w:vAlign w:val="center"/>
          </w:tcPr>
          <w:p w14:paraId="144F9E9A" w14:textId="77777777" w:rsidR="00D42A88" w:rsidRPr="00EB1A43" w:rsidRDefault="00D42A88" w:rsidP="00E45175">
            <w:pPr>
              <w:suppressAutoHyphens/>
              <w:snapToGrid w:val="0"/>
              <w:spacing w:after="0" w:line="240" w:lineRule="auto"/>
              <w:jc w:val="center"/>
              <w:rPr>
                <w:rFonts w:ascii="Times New Roman" w:hAnsi="Times New Roman" w:cs="Times New Roman"/>
                <w:b/>
                <w:color w:val="000000" w:themeColor="text1"/>
                <w:sz w:val="24"/>
                <w:szCs w:val="24"/>
                <w:lang w:eastAsia="ar-SA"/>
              </w:rPr>
            </w:pPr>
            <w:r w:rsidRPr="00EB1A43">
              <w:rPr>
                <w:rFonts w:ascii="Times New Roman" w:hAnsi="Times New Roman" w:cs="Times New Roman"/>
                <w:b/>
                <w:color w:val="000000" w:themeColor="text1"/>
                <w:sz w:val="24"/>
                <w:szCs w:val="24"/>
                <w:lang w:eastAsia="ar-SA"/>
              </w:rPr>
              <w:t>Skaits</w:t>
            </w:r>
          </w:p>
        </w:tc>
      </w:tr>
      <w:tr w:rsidR="00D42A88" w:rsidRPr="00EB1A43" w14:paraId="295256FD" w14:textId="77777777" w:rsidTr="00E45175">
        <w:trPr>
          <w:trHeight w:val="197"/>
        </w:trPr>
        <w:tc>
          <w:tcPr>
            <w:tcW w:w="0" w:type="auto"/>
          </w:tcPr>
          <w:p w14:paraId="664A71D0" w14:textId="77777777" w:rsidR="00D42A88" w:rsidRPr="00EB1A43" w:rsidRDefault="00D42A88" w:rsidP="00E45175">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vAlign w:val="center"/>
          </w:tcPr>
          <w:p w14:paraId="50FD2CC7" w14:textId="77777777" w:rsidR="00D42A88" w:rsidRPr="00EB1A43" w:rsidRDefault="00D42A88" w:rsidP="00E45175">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tcPr>
          <w:p w14:paraId="1BAB9D92" w14:textId="77777777" w:rsidR="00D42A88" w:rsidRPr="00EB1A43" w:rsidRDefault="00D42A88" w:rsidP="00E45175">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c>
          <w:tcPr>
            <w:tcW w:w="765" w:type="dxa"/>
            <w:vAlign w:val="center"/>
          </w:tcPr>
          <w:p w14:paraId="21C8A443" w14:textId="77777777" w:rsidR="00D42A88" w:rsidRPr="00EB1A43" w:rsidRDefault="00D42A88" w:rsidP="00E45175">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r>
      <w:tr w:rsidR="00D42A88" w:rsidRPr="00EB1A43" w14:paraId="4345380A" w14:textId="77777777" w:rsidTr="00E45175">
        <w:trPr>
          <w:trHeight w:val="197"/>
        </w:trPr>
        <w:tc>
          <w:tcPr>
            <w:tcW w:w="0" w:type="auto"/>
          </w:tcPr>
          <w:p w14:paraId="56DFE7AC" w14:textId="77777777" w:rsidR="00D42A88" w:rsidRPr="00EB1A43" w:rsidRDefault="00D42A88" w:rsidP="00E45175">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vAlign w:val="center"/>
          </w:tcPr>
          <w:p w14:paraId="66C7A16D" w14:textId="77777777" w:rsidR="00D42A88" w:rsidRPr="00EB1A43" w:rsidRDefault="00D42A88" w:rsidP="00E45175">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tcPr>
          <w:p w14:paraId="1388BAAD" w14:textId="77777777" w:rsidR="00D42A88" w:rsidRPr="00EB1A43" w:rsidRDefault="00D42A88" w:rsidP="00E45175">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c>
          <w:tcPr>
            <w:tcW w:w="765" w:type="dxa"/>
            <w:vAlign w:val="center"/>
          </w:tcPr>
          <w:p w14:paraId="7F6E3DC9" w14:textId="77777777" w:rsidR="00D42A88" w:rsidRPr="00EB1A43" w:rsidRDefault="00D42A88" w:rsidP="00E45175">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r>
      <w:tr w:rsidR="00D42A88" w:rsidRPr="00EB1A43" w14:paraId="05A0115B" w14:textId="77777777" w:rsidTr="00E45175">
        <w:trPr>
          <w:trHeight w:val="197"/>
        </w:trPr>
        <w:tc>
          <w:tcPr>
            <w:tcW w:w="0" w:type="auto"/>
          </w:tcPr>
          <w:p w14:paraId="5183A063" w14:textId="77777777" w:rsidR="00D42A88" w:rsidRPr="00EB1A43" w:rsidRDefault="00D42A88" w:rsidP="00E45175">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vAlign w:val="center"/>
          </w:tcPr>
          <w:p w14:paraId="41ACDE1E" w14:textId="77777777" w:rsidR="00D42A88" w:rsidRPr="00EB1A43" w:rsidRDefault="00D42A88" w:rsidP="00E45175">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tcPr>
          <w:p w14:paraId="1FD1EACF" w14:textId="77777777" w:rsidR="00D42A88" w:rsidRPr="00EB1A43" w:rsidRDefault="00D42A88" w:rsidP="00E45175">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c>
          <w:tcPr>
            <w:tcW w:w="765" w:type="dxa"/>
            <w:vAlign w:val="center"/>
          </w:tcPr>
          <w:p w14:paraId="5329CCBB" w14:textId="77777777" w:rsidR="00D42A88" w:rsidRPr="00EB1A43" w:rsidRDefault="00D42A88" w:rsidP="00E45175">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r>
      <w:tr w:rsidR="00D42A88" w:rsidRPr="00EB1A43" w14:paraId="68FCB870" w14:textId="77777777" w:rsidTr="00E45175">
        <w:trPr>
          <w:trHeight w:val="197"/>
        </w:trPr>
        <w:tc>
          <w:tcPr>
            <w:tcW w:w="0" w:type="auto"/>
          </w:tcPr>
          <w:p w14:paraId="68C6875A" w14:textId="77777777" w:rsidR="00D42A88" w:rsidRPr="00EB1A43" w:rsidRDefault="00D42A88" w:rsidP="00E45175">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vAlign w:val="center"/>
          </w:tcPr>
          <w:p w14:paraId="234389D9" w14:textId="77777777" w:rsidR="00D42A88" w:rsidRPr="00EB1A43" w:rsidRDefault="00D42A88" w:rsidP="00E45175">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tcPr>
          <w:p w14:paraId="710C10DD" w14:textId="77777777" w:rsidR="00D42A88" w:rsidRPr="00EB1A43" w:rsidRDefault="00D42A88" w:rsidP="00E45175">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c>
          <w:tcPr>
            <w:tcW w:w="765" w:type="dxa"/>
            <w:vAlign w:val="center"/>
          </w:tcPr>
          <w:p w14:paraId="76EFCF9D" w14:textId="77777777" w:rsidR="00D42A88" w:rsidRPr="00EB1A43" w:rsidRDefault="00D42A88" w:rsidP="00E45175">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r>
    </w:tbl>
    <w:p w14:paraId="423C8B03" w14:textId="77777777" w:rsidR="00D42A88" w:rsidRPr="00EB1A43" w:rsidRDefault="00D42A88" w:rsidP="00D42A88">
      <w:pPr>
        <w:pStyle w:val="ListParagraph2"/>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27ADC244" w14:textId="77777777" w:rsidR="00D42A88" w:rsidRPr="00EB1A43" w:rsidRDefault="00D42A88" w:rsidP="00D42A88">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Parakstot šo darba organizācijas aprakstu, pretendents apliecina, ka ir iepazinies ar katras Iestādes ēdināšanas pakalpojumu nodrošināšanai nepieciešamo informāciju, tai skaitā to, kas attiecas uz katras Iestādes virtuves telpām, palīgtelpām, aprīkojumu. </w:t>
      </w:r>
    </w:p>
    <w:p w14:paraId="1655B3FB" w14:textId="77777777" w:rsidR="00D42A88" w:rsidRPr="00EB1A43" w:rsidRDefault="00D42A88" w:rsidP="00D42A88">
      <w:pPr>
        <w:suppressAutoHyphens/>
        <w:spacing w:after="0" w:line="240" w:lineRule="auto"/>
        <w:jc w:val="both"/>
        <w:rPr>
          <w:rFonts w:ascii="Times New Roman" w:hAnsi="Times New Roman" w:cs="Times New Roman"/>
          <w:color w:val="000000" w:themeColor="text1"/>
          <w:sz w:val="24"/>
          <w:szCs w:val="24"/>
        </w:rPr>
      </w:pPr>
    </w:p>
    <w:p w14:paraId="79D2235E" w14:textId="77777777" w:rsidR="004062B7" w:rsidRPr="00EB1A43" w:rsidRDefault="004062B7" w:rsidP="004062B7">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apraksts, kādā veidā un ar kādām informācijas tehnoloģiju sistēmām un metodēm pretendents nodrošinās mūsdienīgu un efektīvu </w:t>
      </w:r>
      <w:bookmarkStart w:id="1" w:name="_Hlk105749262"/>
      <w:r w:rsidRPr="00EB1A43">
        <w:rPr>
          <w:rFonts w:ascii="Times New Roman" w:hAnsi="Times New Roman" w:cs="Times New Roman"/>
          <w:b/>
          <w:bCs/>
          <w:color w:val="000000" w:themeColor="text1"/>
          <w:sz w:val="24"/>
          <w:szCs w:val="24"/>
        </w:rPr>
        <w:t>ēdināšanas pakalpojumu līgumu un norēķinu ar izglītojamo vecākiem elektronisku apstrādi</w:t>
      </w:r>
      <w:bookmarkEnd w:id="1"/>
      <w:r w:rsidRPr="00EB1A43">
        <w:rPr>
          <w:rFonts w:ascii="Times New Roman" w:hAnsi="Times New Roman" w:cs="Times New Roman"/>
          <w:color w:val="000000" w:themeColor="text1"/>
          <w:sz w:val="24"/>
          <w:szCs w:val="24"/>
        </w:rPr>
        <w:t>.</w:t>
      </w:r>
    </w:p>
    <w:p w14:paraId="64284BD6" w14:textId="77777777" w:rsidR="004062B7" w:rsidRPr="00EB1A43" w:rsidRDefault="004062B7" w:rsidP="004062B7">
      <w:pPr>
        <w:spacing w:after="0" w:line="240" w:lineRule="auto"/>
        <w:contextualSpacing/>
        <w:jc w:val="both"/>
        <w:rPr>
          <w:rFonts w:ascii="Times New Roman" w:hAnsi="Times New Roman" w:cs="Times New Roman"/>
          <w:color w:val="000000" w:themeColor="text1"/>
          <w:sz w:val="24"/>
          <w:szCs w:val="24"/>
        </w:rPr>
      </w:pPr>
    </w:p>
    <w:tbl>
      <w:tblPr>
        <w:tblStyle w:val="Reatabula"/>
        <w:tblW w:w="0" w:type="auto"/>
        <w:tblInd w:w="108" w:type="dxa"/>
        <w:tblLook w:val="04A0" w:firstRow="1" w:lastRow="0" w:firstColumn="1" w:lastColumn="0" w:noHBand="0" w:noVBand="1"/>
      </w:tblPr>
      <w:tblGrid>
        <w:gridCol w:w="5670"/>
        <w:gridCol w:w="3686"/>
      </w:tblGrid>
      <w:tr w:rsidR="00EB1A43" w:rsidRPr="00EB1A43" w14:paraId="2B0CB49A" w14:textId="77777777" w:rsidTr="00D625EB">
        <w:tc>
          <w:tcPr>
            <w:tcW w:w="5670" w:type="dxa"/>
          </w:tcPr>
          <w:p w14:paraId="78F24E65" w14:textId="35ADAC14" w:rsidR="004062B7" w:rsidRPr="00EB1A43" w:rsidRDefault="004062B7" w:rsidP="00D625EB">
            <w:pPr>
              <w:pStyle w:val="Sarakstarindkopa"/>
              <w:ind w:left="360"/>
              <w:jc w:val="both"/>
              <w:rPr>
                <w:rFonts w:ascii="Times New Roman" w:hAnsi="Times New Roman" w:cs="Times New Roman"/>
                <w:b/>
                <w:bCs/>
                <w:color w:val="000000" w:themeColor="text1"/>
                <w:sz w:val="24"/>
                <w:szCs w:val="24"/>
              </w:rPr>
            </w:pPr>
            <w:r w:rsidRPr="00EB1A43">
              <w:rPr>
                <w:rFonts w:ascii="Times New Roman" w:hAnsi="Times New Roman" w:cs="Times New Roman"/>
                <w:b/>
                <w:bCs/>
                <w:color w:val="000000" w:themeColor="text1"/>
                <w:sz w:val="24"/>
                <w:szCs w:val="24"/>
              </w:rPr>
              <w:t>Pasūtītāja prasības vecāku līdzfinansējuma administrēšanas elektroniskajam pakalpojumam.</w:t>
            </w:r>
          </w:p>
        </w:tc>
        <w:tc>
          <w:tcPr>
            <w:tcW w:w="3686" w:type="dxa"/>
          </w:tcPr>
          <w:p w14:paraId="02B669FD" w14:textId="77777777" w:rsidR="004062B7" w:rsidRPr="00EB1A43" w:rsidRDefault="004062B7" w:rsidP="00D625EB">
            <w:pPr>
              <w:jc w:val="both"/>
              <w:rPr>
                <w:rFonts w:ascii="Times New Roman" w:hAnsi="Times New Roman" w:cs="Times New Roman"/>
                <w:b/>
                <w:bCs/>
                <w:color w:val="000000" w:themeColor="text1"/>
                <w:sz w:val="24"/>
                <w:szCs w:val="24"/>
              </w:rPr>
            </w:pPr>
            <w:r w:rsidRPr="00EB1A43">
              <w:rPr>
                <w:rFonts w:ascii="Times New Roman" w:hAnsi="Times New Roman" w:cs="Times New Roman"/>
                <w:b/>
                <w:bCs/>
                <w:color w:val="000000" w:themeColor="text1"/>
                <w:sz w:val="24"/>
                <w:szCs w:val="24"/>
              </w:rPr>
              <w:t xml:space="preserve">Prasības realizācijas piedāvājums. Jāapraksta, ar kādām metodēm prasība tiks realizēta. </w:t>
            </w:r>
          </w:p>
        </w:tc>
      </w:tr>
      <w:tr w:rsidR="00EB1A43" w:rsidRPr="00EB1A43" w14:paraId="257C3286" w14:textId="77777777" w:rsidTr="00D625EB">
        <w:tc>
          <w:tcPr>
            <w:tcW w:w="5670" w:type="dxa"/>
          </w:tcPr>
          <w:p w14:paraId="21793970"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Elektroniskā pakalpojuma funkcionalitāte.</w:t>
            </w:r>
          </w:p>
        </w:tc>
        <w:tc>
          <w:tcPr>
            <w:tcW w:w="3686" w:type="dxa"/>
          </w:tcPr>
          <w:p w14:paraId="429D3EBA"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1B699DC7" w14:textId="77777777" w:rsidTr="00D625EB">
        <w:tc>
          <w:tcPr>
            <w:tcW w:w="5670" w:type="dxa"/>
          </w:tcPr>
          <w:p w14:paraId="28AB0710"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masveida datu pārņemšana no Pasūtītāja </w:t>
            </w:r>
            <w:r w:rsidRPr="00EB1A43">
              <w:rPr>
                <w:rFonts w:ascii="Times New Roman" w:hAnsi="Times New Roman" w:cs="Times New Roman"/>
                <w:color w:val="000000" w:themeColor="text1"/>
                <w:sz w:val="24"/>
                <w:szCs w:val="24"/>
              </w:rPr>
              <w:lastRenderedPageBreak/>
              <w:t>informācijas sistēmas par audzēkņiem, kuru ēdināšanu līdzfinansē vecāki. Informācija būs strukturēta:</w:t>
            </w:r>
          </w:p>
        </w:tc>
        <w:tc>
          <w:tcPr>
            <w:tcW w:w="3686" w:type="dxa"/>
          </w:tcPr>
          <w:p w14:paraId="443AB61F"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34166EEF" w14:textId="77777777" w:rsidTr="00D625EB">
        <w:tc>
          <w:tcPr>
            <w:tcW w:w="5670" w:type="dxa"/>
          </w:tcPr>
          <w:p w14:paraId="3DD69EF4"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Audzēknis: vārds/vārdi, uzvārds/uzvārdi/mācību iestāde/klase/grupa/ e-pasts (neobligāts lauks)/mobilā tālruņa numurs (neobligāts lauks);</w:t>
            </w:r>
          </w:p>
        </w:tc>
        <w:tc>
          <w:tcPr>
            <w:tcW w:w="3686" w:type="dxa"/>
          </w:tcPr>
          <w:p w14:paraId="6D9CD14D"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414BAB11" w14:textId="77777777" w:rsidTr="00D625EB">
        <w:tc>
          <w:tcPr>
            <w:tcW w:w="5670" w:type="dxa"/>
          </w:tcPr>
          <w:p w14:paraId="5BAA9952"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Audzēkņu vecāki (aizgādņi): vārds/vārdi, uzvārds/uzvārdi/personas kods/e-pasts/mobilā tālruņa numurs;</w:t>
            </w:r>
          </w:p>
        </w:tc>
        <w:tc>
          <w:tcPr>
            <w:tcW w:w="3686" w:type="dxa"/>
          </w:tcPr>
          <w:p w14:paraId="3AC8B81B"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2EB5ED8F" w14:textId="77777777" w:rsidTr="00D625EB">
        <w:tc>
          <w:tcPr>
            <w:tcW w:w="5670" w:type="dxa"/>
          </w:tcPr>
          <w:p w14:paraId="0EEE7B0D"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datu saņemšana par audzēkņa iekļaušanu vecāku līdzfinansējamo ēdināmo skaitā.</w:t>
            </w:r>
          </w:p>
        </w:tc>
        <w:tc>
          <w:tcPr>
            <w:tcW w:w="3686" w:type="dxa"/>
          </w:tcPr>
          <w:p w14:paraId="6DF36D53"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29734727" w14:textId="77777777" w:rsidTr="00D625EB">
        <w:tc>
          <w:tcPr>
            <w:tcW w:w="5670" w:type="dxa"/>
          </w:tcPr>
          <w:p w14:paraId="146749B7"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datu saņemšana par audzēkņa izslēgšanu no vecāku līdzfinansējamo ēdināmo skaita.</w:t>
            </w:r>
          </w:p>
        </w:tc>
        <w:tc>
          <w:tcPr>
            <w:tcW w:w="3686" w:type="dxa"/>
          </w:tcPr>
          <w:p w14:paraId="59839EE3"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246868D5" w14:textId="77777777" w:rsidTr="00D625EB">
        <w:tc>
          <w:tcPr>
            <w:tcW w:w="5670" w:type="dxa"/>
          </w:tcPr>
          <w:p w14:paraId="467D7118"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lietotāja konta aktivizēšanas funkcionalitāte, izmantojot pakalpojuma sniedzēja izsniegtus sākotnējās pieslēgšanās rekvizītus, kuri pēc sākotnējās pieslēgšanās obligāti maināmi (izņemot gadījumu, ja lietotāja autentifikācijā tiek izmantots </w:t>
            </w:r>
            <w:hyperlink r:id="rId8" w:history="1">
              <w:r w:rsidRPr="00EB1A43">
                <w:rPr>
                  <w:rStyle w:val="Hipersaite"/>
                  <w:rFonts w:ascii="Times New Roman" w:hAnsi="Times New Roman"/>
                  <w:color w:val="000000" w:themeColor="text1"/>
                  <w:sz w:val="24"/>
                  <w:szCs w:val="24"/>
                </w:rPr>
                <w:t>www.Latvija.lv</w:t>
              </w:r>
            </w:hyperlink>
            <w:r w:rsidRPr="00EB1A43">
              <w:rPr>
                <w:rFonts w:ascii="Times New Roman" w:hAnsi="Times New Roman" w:cs="Times New Roman"/>
                <w:color w:val="000000" w:themeColor="text1"/>
                <w:sz w:val="24"/>
                <w:szCs w:val="24"/>
              </w:rPr>
              <w:t xml:space="preserve"> vienotās pieteikšanās modulis.</w:t>
            </w:r>
          </w:p>
        </w:tc>
        <w:tc>
          <w:tcPr>
            <w:tcW w:w="3686" w:type="dxa"/>
          </w:tcPr>
          <w:p w14:paraId="55687BF6"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92E99BB" w14:textId="77777777" w:rsidTr="00D625EB">
        <w:tc>
          <w:tcPr>
            <w:tcW w:w="5670" w:type="dxa"/>
          </w:tcPr>
          <w:p w14:paraId="548A6C66"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distances līgumu *.edoc formā un ar sistēmas rīkiem /augšupielādētu papīra formā parakstīto līgumu uzskaite.</w:t>
            </w:r>
          </w:p>
        </w:tc>
        <w:tc>
          <w:tcPr>
            <w:tcW w:w="3686" w:type="dxa"/>
          </w:tcPr>
          <w:p w14:paraId="5D6D67A9"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366F58D4" w14:textId="77777777" w:rsidTr="00D625EB">
        <w:tc>
          <w:tcPr>
            <w:tcW w:w="5670" w:type="dxa"/>
          </w:tcPr>
          <w:p w14:paraId="1BCC84E2" w14:textId="057A6310"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pakalpojuma atte</w:t>
            </w:r>
            <w:r w:rsidR="004A7450" w:rsidRPr="00EB1A43">
              <w:rPr>
                <w:rFonts w:ascii="Times New Roman" w:hAnsi="Times New Roman" w:cs="Times New Roman"/>
                <w:color w:val="000000" w:themeColor="text1"/>
                <w:sz w:val="24"/>
                <w:szCs w:val="24"/>
              </w:rPr>
              <w:t>i</w:t>
            </w:r>
            <w:r w:rsidRPr="00EB1A43">
              <w:rPr>
                <w:rFonts w:ascii="Times New Roman" w:hAnsi="Times New Roman" w:cs="Times New Roman"/>
                <w:color w:val="000000" w:themeColor="text1"/>
                <w:sz w:val="24"/>
                <w:szCs w:val="24"/>
              </w:rPr>
              <w:t xml:space="preserve">kuma pieņemšana no audzināmo vecākiem/aizbildņiem/audzināmajiem, kuri sasnieguši 18 gadu vecumu, *.edoc formā Pasūtītāja definētā formātā vai ar sistēmas rīkiem parakstīta dokumenta/augšupielādēta papīra formas dokumenta formā un atteikuma fakta ziņošanai </w:t>
            </w:r>
            <w:r w:rsidR="0090101F" w:rsidRPr="00EB1A43">
              <w:rPr>
                <w:rFonts w:ascii="Times New Roman" w:hAnsi="Times New Roman" w:cs="Times New Roman"/>
                <w:color w:val="000000" w:themeColor="text1"/>
                <w:sz w:val="24"/>
                <w:szCs w:val="24"/>
              </w:rPr>
              <w:t>izglītības</w:t>
            </w:r>
            <w:r w:rsidRPr="00EB1A43">
              <w:rPr>
                <w:rFonts w:ascii="Times New Roman" w:hAnsi="Times New Roman" w:cs="Times New Roman"/>
                <w:color w:val="000000" w:themeColor="text1"/>
                <w:sz w:val="24"/>
                <w:szCs w:val="24"/>
              </w:rPr>
              <w:t xml:space="preserve"> iestādes pilnvarotai personai formātā „Atteikums no pakalpojumiem. Audzēkņa vārds/vārdi, uzvārds/uzvārdi/mācību iestāde/klase/grupa/datums, ar kuru atteikums stājas spēkā” un pievienojot atteikuma datni.</w:t>
            </w:r>
          </w:p>
        </w:tc>
        <w:tc>
          <w:tcPr>
            <w:tcW w:w="3686" w:type="dxa"/>
          </w:tcPr>
          <w:p w14:paraId="1012A5CD"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31DBA932" w14:textId="77777777" w:rsidTr="00D625EB">
        <w:tc>
          <w:tcPr>
            <w:tcW w:w="5670" w:type="dxa"/>
          </w:tcPr>
          <w:p w14:paraId="68AF8F0F" w14:textId="37F54113"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w:t>
            </w:r>
            <w:r w:rsidR="00454812" w:rsidRPr="00EB1A43">
              <w:rPr>
                <w:rFonts w:ascii="Times New Roman" w:hAnsi="Times New Roman" w:cs="Times New Roman"/>
                <w:color w:val="000000" w:themeColor="text1"/>
                <w:sz w:val="24"/>
                <w:szCs w:val="24"/>
              </w:rPr>
              <w:t xml:space="preserve">izglītības iestādes </w:t>
            </w:r>
            <w:r w:rsidRPr="00EB1A43">
              <w:rPr>
                <w:rFonts w:ascii="Times New Roman" w:hAnsi="Times New Roman" w:cs="Times New Roman"/>
                <w:color w:val="000000" w:themeColor="text1"/>
                <w:sz w:val="24"/>
                <w:szCs w:val="24"/>
              </w:rPr>
              <w:t>pilnvarota lietotāja darba vieta, ar iespēju augšupielādēt vecāku parakstītus papīra līgumus vai pakalpojuma atteikumus.</w:t>
            </w:r>
          </w:p>
        </w:tc>
        <w:tc>
          <w:tcPr>
            <w:tcW w:w="3686" w:type="dxa"/>
          </w:tcPr>
          <w:p w14:paraId="32102EAE"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7502437A" w14:textId="77777777" w:rsidTr="00D625EB">
        <w:tc>
          <w:tcPr>
            <w:tcW w:w="5670" w:type="dxa"/>
          </w:tcPr>
          <w:p w14:paraId="52F6B0CA"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Elektroniskam pakalpojumam jānodrošina iespēja pieteikt kavējumu (par nākamo darba dienu vai par periodu). Ja kavējums pieteikts par periodu, perioda pēdējā darba dienā jānosūta </w:t>
            </w:r>
            <w:r w:rsidRPr="00EB1A43">
              <w:rPr>
                <w:rFonts w:ascii="Times New Roman" w:hAnsi="Times New Roman" w:cs="Times New Roman"/>
                <w:color w:val="000000" w:themeColor="text1"/>
                <w:sz w:val="24"/>
                <w:szCs w:val="24"/>
              </w:rPr>
              <w:lastRenderedPageBreak/>
              <w:t xml:space="preserve">audzināmā vecākam SMS ar brīdinājumu, ka pieteiktais kavējuma laiks beidzas. </w:t>
            </w:r>
          </w:p>
        </w:tc>
        <w:tc>
          <w:tcPr>
            <w:tcW w:w="3686" w:type="dxa"/>
          </w:tcPr>
          <w:p w14:paraId="5CE9161D"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7D29F11F" w14:textId="77777777" w:rsidTr="00D625EB">
        <w:tc>
          <w:tcPr>
            <w:tcW w:w="5670" w:type="dxa"/>
          </w:tcPr>
          <w:p w14:paraId="72E3A391" w14:textId="42940C2E"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informācija par ēdināmo skaitu konkrētā dienā, pa klasēm vai grupām.</w:t>
            </w:r>
          </w:p>
        </w:tc>
        <w:tc>
          <w:tcPr>
            <w:tcW w:w="3686" w:type="dxa"/>
          </w:tcPr>
          <w:p w14:paraId="2206E272"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25D05095" w14:textId="77777777" w:rsidTr="00D625EB">
        <w:tc>
          <w:tcPr>
            <w:tcW w:w="5670" w:type="dxa"/>
          </w:tcPr>
          <w:p w14:paraId="4D143DED"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ēdināšanas pakalpojuma sniegšanas uzskaite (ar pieņēmumu, ka ja līdz iepriekšējās dienas 20:00 nav pieteikts kavējums, ēdināšanas pakalpojums tiek saņemts).</w:t>
            </w:r>
          </w:p>
        </w:tc>
        <w:tc>
          <w:tcPr>
            <w:tcW w:w="3686" w:type="dxa"/>
          </w:tcPr>
          <w:p w14:paraId="1C989D1E"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571E0DDB" w14:textId="77777777" w:rsidTr="00D625EB">
        <w:tc>
          <w:tcPr>
            <w:tcW w:w="5670" w:type="dxa"/>
          </w:tcPr>
          <w:p w14:paraId="43B01EF3"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rēķinu sagatavošana vecākiem par iepriekšējā periodā saņemtajiem ēdināšanas pakalpojumiem, kā arī brīdinājuma paziņojuma (SMS formā) nosūtīšana par izrakstītu rēķinu.</w:t>
            </w:r>
          </w:p>
        </w:tc>
        <w:tc>
          <w:tcPr>
            <w:tcW w:w="3686" w:type="dxa"/>
          </w:tcPr>
          <w:p w14:paraId="56A01A4E"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76374054" w14:textId="77777777" w:rsidTr="00D625EB">
        <w:tc>
          <w:tcPr>
            <w:tcW w:w="5670" w:type="dxa"/>
          </w:tcPr>
          <w:p w14:paraId="37067D80"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saņemtā maksājuma atpazīšana pēc unikāla rēķina identifikatora vai pēc unikāla konta, kurā ieskaitāms maksājums.</w:t>
            </w:r>
          </w:p>
        </w:tc>
        <w:tc>
          <w:tcPr>
            <w:tcW w:w="3686" w:type="dxa"/>
          </w:tcPr>
          <w:p w14:paraId="0F096368"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612A3CF6" w14:textId="77777777" w:rsidTr="00D625EB">
        <w:tc>
          <w:tcPr>
            <w:tcW w:w="5670" w:type="dxa"/>
          </w:tcPr>
          <w:p w14:paraId="40ABD585"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iespēja nosūtīt vecākiem brīdinājumu par rēķina apmaksas kavējumu.</w:t>
            </w:r>
          </w:p>
        </w:tc>
        <w:tc>
          <w:tcPr>
            <w:tcW w:w="3686" w:type="dxa"/>
          </w:tcPr>
          <w:p w14:paraId="1B2B24AA"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176D8638" w14:textId="77777777" w:rsidTr="00D625EB">
        <w:tc>
          <w:tcPr>
            <w:tcW w:w="5670" w:type="dxa"/>
          </w:tcPr>
          <w:p w14:paraId="2C7193D8"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iespēja nosūtīt vecākam SMS par priekšapmaksas izmantošanu.</w:t>
            </w:r>
          </w:p>
        </w:tc>
        <w:tc>
          <w:tcPr>
            <w:tcW w:w="3686" w:type="dxa"/>
          </w:tcPr>
          <w:p w14:paraId="1C417D38"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A815E4D" w14:textId="77777777" w:rsidTr="00D625EB">
        <w:tc>
          <w:tcPr>
            <w:tcW w:w="5670" w:type="dxa"/>
          </w:tcPr>
          <w:p w14:paraId="5FC2C0A6"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iespēja ieskaitīt ēdinātāja bankas norēķinu kontā samaksu par saņemtajiem pakalpojumiem, par kuriem veikta priekšapmaksa, ne retāk kā reizi mēnesī.</w:t>
            </w:r>
          </w:p>
        </w:tc>
        <w:tc>
          <w:tcPr>
            <w:tcW w:w="3686" w:type="dxa"/>
          </w:tcPr>
          <w:p w14:paraId="4D6583E2"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511F47E0" w14:textId="77777777" w:rsidTr="00D625EB">
        <w:tc>
          <w:tcPr>
            <w:tcW w:w="5670" w:type="dxa"/>
          </w:tcPr>
          <w:p w14:paraId="600B8AB6"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iespēja konfigurējamā laikā nosūtīt Pasūtītājam brīdinājumu par vecākiem, kuri kavējuši ēdināšanas pakalpojuma apmaksu.</w:t>
            </w:r>
          </w:p>
        </w:tc>
        <w:tc>
          <w:tcPr>
            <w:tcW w:w="3686" w:type="dxa"/>
          </w:tcPr>
          <w:p w14:paraId="35D540AF"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216A6D72" w14:textId="77777777" w:rsidTr="00D625EB">
        <w:tc>
          <w:tcPr>
            <w:tcW w:w="5670" w:type="dxa"/>
          </w:tcPr>
          <w:p w14:paraId="38152F19"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iespēja apstrādāt vecāku iesniegumus, nodrošinot informāciju par iesnieguma izskatīšanas statusu. </w:t>
            </w:r>
          </w:p>
        </w:tc>
        <w:tc>
          <w:tcPr>
            <w:tcW w:w="3686" w:type="dxa"/>
          </w:tcPr>
          <w:p w14:paraId="1FBC99F1"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F3EB5CF" w14:textId="77777777" w:rsidTr="00D625EB">
        <w:tc>
          <w:tcPr>
            <w:tcW w:w="5670" w:type="dxa"/>
          </w:tcPr>
          <w:p w14:paraId="0AF57F6A"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iespēja veikt priekšapmaksu par ēdināšanas pakalpojumiem, tajā skaitā, nodrošināt neizmantotās priekšapmaksas atgriešanu pakalpojuma atteikuma vai mācību izbeigšanas gadījumā. </w:t>
            </w:r>
          </w:p>
        </w:tc>
        <w:tc>
          <w:tcPr>
            <w:tcW w:w="3686" w:type="dxa"/>
          </w:tcPr>
          <w:p w14:paraId="0725C68D"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10C5FE39" w14:textId="77777777" w:rsidTr="00D625EB">
        <w:tc>
          <w:tcPr>
            <w:tcW w:w="5670" w:type="dxa"/>
          </w:tcPr>
          <w:p w14:paraId="33D1B4F2"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atskaites:</w:t>
            </w:r>
          </w:p>
        </w:tc>
        <w:tc>
          <w:tcPr>
            <w:tcW w:w="3686" w:type="dxa"/>
          </w:tcPr>
          <w:p w14:paraId="0F176D3A"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0033612A" w14:textId="77777777" w:rsidTr="00D625EB">
        <w:tc>
          <w:tcPr>
            <w:tcW w:w="5670" w:type="dxa"/>
          </w:tcPr>
          <w:p w14:paraId="16B6945F"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Ikmēneša kopsavilkuma atskaite par līgumu (visām līgumā iekļautajām mācību iestādēm);</w:t>
            </w:r>
          </w:p>
        </w:tc>
        <w:tc>
          <w:tcPr>
            <w:tcW w:w="3686" w:type="dxa"/>
          </w:tcPr>
          <w:p w14:paraId="7566B4CF"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38E7C496" w14:textId="77777777" w:rsidTr="00D625EB">
        <w:tc>
          <w:tcPr>
            <w:tcW w:w="5670" w:type="dxa"/>
          </w:tcPr>
          <w:p w14:paraId="4E233464"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Ikmēneša atskaite mācību iestādes/klases/grupas līmenī</w:t>
            </w:r>
          </w:p>
        </w:tc>
        <w:tc>
          <w:tcPr>
            <w:tcW w:w="3686" w:type="dxa"/>
          </w:tcPr>
          <w:p w14:paraId="379DB9A5"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2BB6DC27" w14:textId="77777777" w:rsidTr="00D625EB">
        <w:tc>
          <w:tcPr>
            <w:tcW w:w="5670" w:type="dxa"/>
          </w:tcPr>
          <w:p w14:paraId="2E6D7992"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lastRenderedPageBreak/>
              <w:t>Norēķinu perioda vai mācību gada atskaite par katra vecāku līdzfinansējamā ēdināmā saņemtajiem pakalpojumiem.</w:t>
            </w:r>
          </w:p>
        </w:tc>
        <w:tc>
          <w:tcPr>
            <w:tcW w:w="3686" w:type="dxa"/>
          </w:tcPr>
          <w:p w14:paraId="38DDB007"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50F61B20" w14:textId="77777777" w:rsidTr="00D625EB">
        <w:tc>
          <w:tcPr>
            <w:tcW w:w="5670" w:type="dxa"/>
          </w:tcPr>
          <w:p w14:paraId="21289551"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Vecāku/aizgādņu /audzināmo, kuru vecums pārsniedz 18 gadus, lietotāja saskarne.</w:t>
            </w:r>
          </w:p>
        </w:tc>
        <w:tc>
          <w:tcPr>
            <w:tcW w:w="3686" w:type="dxa"/>
          </w:tcPr>
          <w:p w14:paraId="2CF51367"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7D0563B5" w14:textId="77777777" w:rsidTr="00D625EB">
        <w:tc>
          <w:tcPr>
            <w:tcW w:w="5670" w:type="dxa"/>
          </w:tcPr>
          <w:p w14:paraId="0C7B8A1F"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Lietotāja saskarnei jābūt ar responsīvu dizainu (pieejamu kā no datora, tā no mobilā telefona).</w:t>
            </w:r>
          </w:p>
        </w:tc>
        <w:tc>
          <w:tcPr>
            <w:tcW w:w="3686" w:type="dxa"/>
          </w:tcPr>
          <w:p w14:paraId="7A6E8586"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0D1166CA" w14:textId="77777777" w:rsidTr="00D625EB">
        <w:tc>
          <w:tcPr>
            <w:tcW w:w="5670" w:type="dxa"/>
          </w:tcPr>
          <w:p w14:paraId="52CF04AC"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Lietotāja saskarnē jānodrošina atbilstība standartam ETSI EN 301 549 “IKT produktu un pakalpojumu publiskā iepirkuma pieejamības prasības Eiropā” vai ekvivalentam. un </w:t>
            </w:r>
            <w:r w:rsidRPr="00EB1A43">
              <w:rPr>
                <w:rFonts w:ascii="Times New Roman" w:hAnsi="Times New Roman" w:cs="Times New Roman"/>
                <w:color w:val="000000" w:themeColor="text1"/>
                <w:sz w:val="24"/>
                <w:szCs w:val="24"/>
                <w:shd w:val="clear" w:color="auto" w:fill="FFFFFF"/>
              </w:rPr>
              <w:t>LVS EN ISO 9241-210:2019 “Cilvēka un sistēmas mijiedarbības ergonomika. 210. daļa: Cilvēkorientēta interaktīvo sistēmu projektēšana” vai ekvivalentam</w:t>
            </w:r>
            <w:r w:rsidRPr="00EB1A43">
              <w:rPr>
                <w:rFonts w:ascii="Times New Roman" w:hAnsi="Times New Roman" w:cs="Times New Roman"/>
                <w:color w:val="000000" w:themeColor="text1"/>
                <w:sz w:val="24"/>
                <w:szCs w:val="24"/>
              </w:rPr>
              <w:t>.</w:t>
            </w:r>
          </w:p>
        </w:tc>
        <w:tc>
          <w:tcPr>
            <w:tcW w:w="3686" w:type="dxa"/>
          </w:tcPr>
          <w:p w14:paraId="6AF3264E"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D2C07F3" w14:textId="77777777" w:rsidTr="00D625EB">
        <w:tc>
          <w:tcPr>
            <w:tcW w:w="5670" w:type="dxa"/>
          </w:tcPr>
          <w:p w14:paraId="6FA10EF3"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Lietotāja saskarnē jāparedz iespēja aktivizēt lietotāja kontu, izmantojot sākotnējās piekļuves rekvizītus vai </w:t>
            </w:r>
            <w:hyperlink r:id="rId9" w:history="1">
              <w:r w:rsidRPr="00EB1A43">
                <w:rPr>
                  <w:rStyle w:val="Hipersaite"/>
                  <w:rFonts w:ascii="Times New Roman" w:hAnsi="Times New Roman"/>
                  <w:color w:val="000000" w:themeColor="text1"/>
                  <w:sz w:val="24"/>
                  <w:szCs w:val="24"/>
                </w:rPr>
                <w:t>www.Latvija.lv</w:t>
              </w:r>
            </w:hyperlink>
            <w:r w:rsidRPr="00EB1A43">
              <w:rPr>
                <w:rFonts w:ascii="Times New Roman" w:hAnsi="Times New Roman" w:cs="Times New Roman"/>
                <w:color w:val="000000" w:themeColor="text1"/>
                <w:sz w:val="24"/>
                <w:szCs w:val="24"/>
              </w:rPr>
              <w:t xml:space="preserve"> vienotās pieteikšanās moduli.</w:t>
            </w:r>
          </w:p>
        </w:tc>
        <w:tc>
          <w:tcPr>
            <w:tcW w:w="3686" w:type="dxa"/>
          </w:tcPr>
          <w:p w14:paraId="10C769A1"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0DBDB8FB" w14:textId="77777777" w:rsidTr="00D625EB">
        <w:tc>
          <w:tcPr>
            <w:tcW w:w="5670" w:type="dxa"/>
          </w:tcPr>
          <w:p w14:paraId="2D39D38A"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Lietotāja piekļuve jārealizē, izmantojot drošu autentifikāciju (</w:t>
            </w:r>
            <w:hyperlink r:id="rId10" w:history="1">
              <w:r w:rsidRPr="00EB1A43">
                <w:rPr>
                  <w:rStyle w:val="Hipersaite"/>
                  <w:rFonts w:ascii="Times New Roman" w:hAnsi="Times New Roman"/>
                  <w:color w:val="000000" w:themeColor="text1"/>
                  <w:sz w:val="24"/>
                  <w:szCs w:val="24"/>
                </w:rPr>
                <w:t>www.Latvija.lv</w:t>
              </w:r>
            </w:hyperlink>
            <w:r w:rsidRPr="00EB1A43">
              <w:rPr>
                <w:rFonts w:ascii="Times New Roman" w:hAnsi="Times New Roman" w:cs="Times New Roman"/>
                <w:color w:val="000000" w:themeColor="text1"/>
                <w:sz w:val="24"/>
                <w:szCs w:val="24"/>
              </w:rPr>
              <w:t xml:space="preserve"> vienotās pieteikšanās modulis vai divfaktoru autentifikācija). Prasība pēc drošas autentifikācijas tiks izpildīta, ja piekļuve lietotāja saskarnei iespējama no cita lietojuma, kurā nepieciešama droša autentifikācija.</w:t>
            </w:r>
          </w:p>
        </w:tc>
        <w:tc>
          <w:tcPr>
            <w:tcW w:w="3686" w:type="dxa"/>
          </w:tcPr>
          <w:p w14:paraId="1E751BF1"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3F02742" w14:textId="77777777" w:rsidTr="00D625EB">
        <w:tc>
          <w:tcPr>
            <w:tcW w:w="5670" w:type="dxa"/>
          </w:tcPr>
          <w:p w14:paraId="426E3326"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Lietotāja saskarnē jābūt šādām iespējām:</w:t>
            </w:r>
          </w:p>
        </w:tc>
        <w:tc>
          <w:tcPr>
            <w:tcW w:w="3686" w:type="dxa"/>
          </w:tcPr>
          <w:p w14:paraId="18AD1AF7"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66FE4C70" w14:textId="77777777" w:rsidTr="00D625EB">
        <w:tc>
          <w:tcPr>
            <w:tcW w:w="5670" w:type="dxa"/>
          </w:tcPr>
          <w:p w14:paraId="6F1EEB49"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Informācijai par izmantoto pakalpojumu apmaksas stāvokli (neapmaksātā summa/iemaksātā, bet neizmantotā priekšapmaksa);</w:t>
            </w:r>
          </w:p>
        </w:tc>
        <w:tc>
          <w:tcPr>
            <w:tcW w:w="3686" w:type="dxa"/>
          </w:tcPr>
          <w:p w14:paraId="10354755"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177BEA9C" w14:textId="77777777" w:rsidTr="00D625EB">
        <w:tc>
          <w:tcPr>
            <w:tcW w:w="5670" w:type="dxa"/>
          </w:tcPr>
          <w:p w14:paraId="44C7463F"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Līguma lejupielāde;</w:t>
            </w:r>
          </w:p>
        </w:tc>
        <w:tc>
          <w:tcPr>
            <w:tcW w:w="3686" w:type="dxa"/>
          </w:tcPr>
          <w:p w14:paraId="2BDEA565"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43A2E759" w14:textId="77777777" w:rsidTr="00D625EB">
        <w:tc>
          <w:tcPr>
            <w:tcW w:w="5670" w:type="dxa"/>
          </w:tcPr>
          <w:p w14:paraId="07E43120"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Elektroniski parakstīta līguma augšupielāde;</w:t>
            </w:r>
          </w:p>
        </w:tc>
        <w:tc>
          <w:tcPr>
            <w:tcW w:w="3686" w:type="dxa"/>
          </w:tcPr>
          <w:p w14:paraId="583D52EB"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2F6A7481" w14:textId="77777777" w:rsidTr="00D625EB">
        <w:tc>
          <w:tcPr>
            <w:tcW w:w="5670" w:type="dxa"/>
          </w:tcPr>
          <w:p w14:paraId="5B922356"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 Piekrišana distances līguma noslēgšanai, veicot konkludentas darbības (piekrišanas apliecināšana, izmantojot sistēmas identifikācijas rīkus vai veicot avansa maksājumu);</w:t>
            </w:r>
          </w:p>
        </w:tc>
        <w:tc>
          <w:tcPr>
            <w:tcW w:w="3686" w:type="dxa"/>
          </w:tcPr>
          <w:p w14:paraId="10628A90"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6705E98A" w14:textId="77777777" w:rsidTr="00D625EB">
        <w:tc>
          <w:tcPr>
            <w:tcW w:w="5670" w:type="dxa"/>
          </w:tcPr>
          <w:p w14:paraId="22044990"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Parakstīta papīra līguma (*pdf.datne) augšupielāde;</w:t>
            </w:r>
          </w:p>
        </w:tc>
        <w:tc>
          <w:tcPr>
            <w:tcW w:w="3686" w:type="dxa"/>
          </w:tcPr>
          <w:p w14:paraId="1986E4D8"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71B4D30F" w14:textId="77777777" w:rsidTr="00D625EB">
        <w:tc>
          <w:tcPr>
            <w:tcW w:w="5670" w:type="dxa"/>
          </w:tcPr>
          <w:p w14:paraId="68DD4060"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Pakalpojuma atteikuma formas iesniegšanai (elektroniski parakstīta vai ar sistēmas identifikācijas rīkiem apstiprināta dokumenta veidā).</w:t>
            </w:r>
          </w:p>
        </w:tc>
        <w:tc>
          <w:tcPr>
            <w:tcW w:w="3686" w:type="dxa"/>
          </w:tcPr>
          <w:p w14:paraId="0AFB9CA3"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68DC0429" w14:textId="77777777" w:rsidTr="00D625EB">
        <w:tc>
          <w:tcPr>
            <w:tcW w:w="5670" w:type="dxa"/>
          </w:tcPr>
          <w:p w14:paraId="4111C8FB"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Rēķina apskatei;</w:t>
            </w:r>
          </w:p>
        </w:tc>
        <w:tc>
          <w:tcPr>
            <w:tcW w:w="3686" w:type="dxa"/>
          </w:tcPr>
          <w:p w14:paraId="625819A0"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75447A07" w14:textId="77777777" w:rsidTr="00D625EB">
        <w:tc>
          <w:tcPr>
            <w:tcW w:w="5670" w:type="dxa"/>
          </w:tcPr>
          <w:p w14:paraId="5B988E75"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Rēķina apmaksai, izmantojot saskarni ar maksājumu sistēmām, veicot maksājumu uz unikālu kontu ar SEPA identifikatoru vai veicot debetmaksājumu un norādot rēķina numuru;</w:t>
            </w:r>
          </w:p>
        </w:tc>
        <w:tc>
          <w:tcPr>
            <w:tcW w:w="3686" w:type="dxa"/>
          </w:tcPr>
          <w:p w14:paraId="069DF81F"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795AB02C" w14:textId="77777777" w:rsidTr="00D625EB">
        <w:tc>
          <w:tcPr>
            <w:tcW w:w="5670" w:type="dxa"/>
          </w:tcPr>
          <w:p w14:paraId="5F0A444B"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lastRenderedPageBreak/>
              <w:t>Iespējai pieteikt kavējumus (norādot, vai kavēta tiks nākamā mācību diena vai konkrēts laika periods)</w:t>
            </w:r>
          </w:p>
        </w:tc>
        <w:tc>
          <w:tcPr>
            <w:tcW w:w="3686" w:type="dxa"/>
          </w:tcPr>
          <w:p w14:paraId="27EAE4DD"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149E3C78" w14:textId="77777777" w:rsidTr="00D625EB">
        <w:tc>
          <w:tcPr>
            <w:tcW w:w="5670" w:type="dxa"/>
          </w:tcPr>
          <w:p w14:paraId="2725898A"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Ja kavējums pieteikts par konkrētu laika periodu, pagarināt pieteikto kavējuma laiku;</w:t>
            </w:r>
          </w:p>
        </w:tc>
        <w:tc>
          <w:tcPr>
            <w:tcW w:w="3686" w:type="dxa"/>
          </w:tcPr>
          <w:p w14:paraId="661A28DB"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098FD521" w14:textId="77777777" w:rsidTr="00D625EB">
        <w:tc>
          <w:tcPr>
            <w:tcW w:w="5670" w:type="dxa"/>
          </w:tcPr>
          <w:p w14:paraId="15827215"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Apskatīt atskaiti par pakalpojuma saņemšanu norēķinu periodā/konkrētā mēnesī, lejupielādēt atskaiti *.xls /*.xlsx formātā;</w:t>
            </w:r>
          </w:p>
        </w:tc>
        <w:tc>
          <w:tcPr>
            <w:tcW w:w="3686" w:type="dxa"/>
          </w:tcPr>
          <w:p w14:paraId="485F42BB"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61D5BFF8" w14:textId="77777777" w:rsidTr="00D625EB">
        <w:tc>
          <w:tcPr>
            <w:tcW w:w="5670" w:type="dxa"/>
          </w:tcPr>
          <w:p w14:paraId="6DF01A9E"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Iesniegt iesniegumu (jautājums, līdzekļu atmaksas pieteikums, pretenzija par kļūdaini aprēķinātu maksājumu), saņemt atbildes, redzēt pieteikuma statusu.</w:t>
            </w:r>
          </w:p>
        </w:tc>
        <w:tc>
          <w:tcPr>
            <w:tcW w:w="3686" w:type="dxa"/>
          </w:tcPr>
          <w:p w14:paraId="2F3A121D"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1BF3F336" w14:textId="77777777" w:rsidTr="00D625EB">
        <w:tc>
          <w:tcPr>
            <w:tcW w:w="5670" w:type="dxa"/>
          </w:tcPr>
          <w:p w14:paraId="60327A56"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Izglītības iestādes darbinieka lietotāja saskarne.</w:t>
            </w:r>
          </w:p>
        </w:tc>
        <w:tc>
          <w:tcPr>
            <w:tcW w:w="3686" w:type="dxa"/>
          </w:tcPr>
          <w:p w14:paraId="0B8C2F01"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5484752F" w14:textId="77777777" w:rsidTr="00D625EB">
        <w:tc>
          <w:tcPr>
            <w:tcW w:w="5670" w:type="dxa"/>
          </w:tcPr>
          <w:p w14:paraId="78C61AC8"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Katrai izglītības iestādei jābūt vismaz vienai pilnvarota lietotāja saskarnei.</w:t>
            </w:r>
          </w:p>
        </w:tc>
        <w:tc>
          <w:tcPr>
            <w:tcW w:w="3686" w:type="dxa"/>
          </w:tcPr>
          <w:p w14:paraId="62FE6563"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5B4346DA" w14:textId="77777777" w:rsidTr="00D625EB">
        <w:tc>
          <w:tcPr>
            <w:tcW w:w="5670" w:type="dxa"/>
          </w:tcPr>
          <w:p w14:paraId="78906D54"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Piekļuve izglītības iestādes lietotāja saskarnei veicama, izmantojot </w:t>
            </w:r>
            <w:hyperlink r:id="rId11" w:history="1">
              <w:r w:rsidRPr="00EB1A43">
                <w:rPr>
                  <w:rStyle w:val="Hipersaite"/>
                  <w:rFonts w:ascii="Times New Roman" w:hAnsi="Times New Roman"/>
                  <w:color w:val="000000" w:themeColor="text1"/>
                  <w:sz w:val="24"/>
                  <w:szCs w:val="24"/>
                </w:rPr>
                <w:t>www.Latvija.lv</w:t>
              </w:r>
            </w:hyperlink>
            <w:r w:rsidRPr="00EB1A43">
              <w:rPr>
                <w:rFonts w:ascii="Times New Roman" w:hAnsi="Times New Roman" w:cs="Times New Roman"/>
                <w:color w:val="000000" w:themeColor="text1"/>
                <w:sz w:val="24"/>
                <w:szCs w:val="24"/>
              </w:rPr>
              <w:t xml:space="preserve"> vienotās pieteikšanās moduli.</w:t>
            </w:r>
          </w:p>
        </w:tc>
        <w:tc>
          <w:tcPr>
            <w:tcW w:w="3686" w:type="dxa"/>
          </w:tcPr>
          <w:p w14:paraId="57BF26E0"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37C65694" w14:textId="77777777" w:rsidTr="00D625EB">
        <w:tc>
          <w:tcPr>
            <w:tcW w:w="5670" w:type="dxa"/>
          </w:tcPr>
          <w:p w14:paraId="3F01ED1E"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Izglītības iestādes lietotājam jābūt šādām iespējām:</w:t>
            </w:r>
          </w:p>
        </w:tc>
        <w:tc>
          <w:tcPr>
            <w:tcW w:w="3686" w:type="dxa"/>
          </w:tcPr>
          <w:p w14:paraId="47F25C28"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233EABA" w14:textId="77777777" w:rsidTr="00D625EB">
        <w:tc>
          <w:tcPr>
            <w:tcW w:w="5670" w:type="dxa"/>
          </w:tcPr>
          <w:p w14:paraId="4EF442C2" w14:textId="44A41B4D"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 Augšupielādēt iestādē saņ</w:t>
            </w:r>
            <w:r w:rsidR="00C841FD" w:rsidRPr="00EB1A43">
              <w:rPr>
                <w:rFonts w:ascii="Times New Roman" w:hAnsi="Times New Roman" w:cs="Times New Roman"/>
                <w:color w:val="000000" w:themeColor="text1"/>
                <w:sz w:val="24"/>
                <w:szCs w:val="24"/>
              </w:rPr>
              <w:t>e</w:t>
            </w:r>
            <w:r w:rsidRPr="00EB1A43">
              <w:rPr>
                <w:rFonts w:ascii="Times New Roman" w:hAnsi="Times New Roman" w:cs="Times New Roman"/>
                <w:color w:val="000000" w:themeColor="text1"/>
                <w:sz w:val="24"/>
                <w:szCs w:val="24"/>
              </w:rPr>
              <w:t>mto audzināmā vecāka/aizgādņa līgumu par ēdināšanas pakalpojumu saņemšanu *.pdf formātā (norādot audzināmā klasi). Šādā gadījumā sistēmai jānodrošina brīdinājuma paziņojums e-pakalpojuma administratoram.</w:t>
            </w:r>
          </w:p>
        </w:tc>
        <w:tc>
          <w:tcPr>
            <w:tcW w:w="3686" w:type="dxa"/>
          </w:tcPr>
          <w:p w14:paraId="0BB1E1E6"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43CA4B0E" w14:textId="77777777" w:rsidTr="00D625EB">
        <w:tc>
          <w:tcPr>
            <w:tcW w:w="5670" w:type="dxa"/>
          </w:tcPr>
          <w:p w14:paraId="5CC0C7EC"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Drošības prasības. E-pakalpojumam jānodrošina drošības prasības, kuras atbilst Finanšu un kapitāla tirgus komisijas 2020. gada 8. septembra noteikumu Nr. 150 "Informācijas tehnoloģiju un drošības risku pārvaldības normatīvie noteikumi"  apakšpunktiem 5.2. Lietotāja autentiskuma noteikšana; 5.3. Pieejas tiesību vadība; 5.4. Fiziskā drošība un vides kontrole; 5.5. Datu nesēju fiziskā aizsardzība; 5.6. IT operāciju drošība; 5.7. Datortīklu aizsardzība; 6.2. Auditācijas pierakstu pārvaldība; 6.3. Datu rezerves kopēšana.</w:t>
            </w:r>
          </w:p>
        </w:tc>
        <w:tc>
          <w:tcPr>
            <w:tcW w:w="3686" w:type="dxa"/>
          </w:tcPr>
          <w:p w14:paraId="6AC28737"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0A7E3697" w14:textId="77777777" w:rsidTr="00D625EB">
        <w:tc>
          <w:tcPr>
            <w:tcW w:w="5670" w:type="dxa"/>
          </w:tcPr>
          <w:p w14:paraId="42AE3E83"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Personas datu aizsardzība. Personas datus, kuri Līguma izpildes nolūkā nodoti Sistēmas pārzinim, (turpmāk – Personas dati), Sistēmas pārzinis apstrādā saskaņā ar Latvijas Republikas normatīvajiem aktiem, Eiropas Parlamenta un Padomes 2016. gada 27. aprīļa Regulas (ES) 2016/679 par fizisku personu aizsardzību attiecībā uz personas datu apstrādi un šādu datu brīvu apriti, ar ko atceļ Direktīvu 95/46/EK (Vispārīgā datu aizsardzības regula), prasībām.</w:t>
            </w:r>
          </w:p>
        </w:tc>
        <w:tc>
          <w:tcPr>
            <w:tcW w:w="3686" w:type="dxa"/>
          </w:tcPr>
          <w:p w14:paraId="31A10D0B"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247C21B3" w14:textId="77777777" w:rsidTr="00D625EB">
        <w:tc>
          <w:tcPr>
            <w:tcW w:w="5670" w:type="dxa"/>
          </w:tcPr>
          <w:p w14:paraId="2700FF4C"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Pieejamība pārbaudēm. Pretendentam jānodrošina </w:t>
            </w:r>
            <w:r w:rsidRPr="00EB1A43">
              <w:rPr>
                <w:rFonts w:ascii="Times New Roman" w:hAnsi="Times New Roman" w:cs="Times New Roman"/>
                <w:color w:val="000000" w:themeColor="text1"/>
                <w:sz w:val="24"/>
                <w:szCs w:val="24"/>
              </w:rPr>
              <w:lastRenderedPageBreak/>
              <w:t>elektroniskā pakalpojuma programmatūras, dokumentācijas un fiziskās infrastruktūras pieejamība Pasūtītāja vai citu kontrolējošo institūciju pārbaudēm. Ja elektroniskais pakalpojums tiek iegādāts kā ārpakalpojums, šādam noteikumam jābūt iekļautam ārpakalpojuma līgumā ar maksājumu pakalpojumu iestādi.</w:t>
            </w:r>
          </w:p>
        </w:tc>
        <w:tc>
          <w:tcPr>
            <w:tcW w:w="3686" w:type="dxa"/>
          </w:tcPr>
          <w:p w14:paraId="6C4EC22D" w14:textId="77777777" w:rsidR="004062B7" w:rsidRPr="00EB1A43" w:rsidRDefault="004062B7" w:rsidP="00D625EB">
            <w:pPr>
              <w:jc w:val="both"/>
              <w:rPr>
                <w:rFonts w:ascii="Times New Roman" w:hAnsi="Times New Roman" w:cs="Times New Roman"/>
                <w:color w:val="000000" w:themeColor="text1"/>
                <w:sz w:val="24"/>
                <w:szCs w:val="24"/>
              </w:rPr>
            </w:pPr>
          </w:p>
        </w:tc>
      </w:tr>
      <w:tr w:rsidR="004062B7" w:rsidRPr="00EB1A43" w14:paraId="3FA0C44B" w14:textId="77777777" w:rsidTr="00D625EB">
        <w:tc>
          <w:tcPr>
            <w:tcW w:w="5670" w:type="dxa"/>
          </w:tcPr>
          <w:p w14:paraId="4925927D"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Lietotāju atbalsta dienests. Jānodrošina lietotāju atbalsta līnija ar vismaz diviem pakalpojumu pieteikšanas kanāliem – e-pastu un telefona līniju (neizmantojot paaugstinātas apmaksas sakaru līniju) ar vismaz 2 (diviem) operatoriem. Uz e-pasta pieteikumu jānodrošina atbilde vismaz nākamās darba dienas laikā. </w:t>
            </w:r>
          </w:p>
        </w:tc>
        <w:tc>
          <w:tcPr>
            <w:tcW w:w="3686" w:type="dxa"/>
          </w:tcPr>
          <w:p w14:paraId="4171A3AC" w14:textId="77777777" w:rsidR="004062B7" w:rsidRPr="00EB1A43" w:rsidRDefault="004062B7" w:rsidP="00D625EB">
            <w:pPr>
              <w:jc w:val="both"/>
              <w:rPr>
                <w:rFonts w:ascii="Times New Roman" w:hAnsi="Times New Roman" w:cs="Times New Roman"/>
                <w:color w:val="000000" w:themeColor="text1"/>
                <w:sz w:val="24"/>
                <w:szCs w:val="24"/>
              </w:rPr>
            </w:pPr>
          </w:p>
        </w:tc>
      </w:tr>
    </w:tbl>
    <w:p w14:paraId="2A4BD7DA" w14:textId="3841E969" w:rsidR="00B71AC8" w:rsidRDefault="00B71AC8" w:rsidP="004062B7">
      <w:pPr>
        <w:spacing w:after="0" w:line="240" w:lineRule="auto"/>
        <w:rPr>
          <w:rFonts w:ascii="Times New Roman" w:hAnsi="Times New Roman" w:cs="Times New Roman"/>
          <w:color w:val="000000" w:themeColor="text1"/>
          <w:sz w:val="24"/>
          <w:szCs w:val="24"/>
        </w:rPr>
      </w:pPr>
    </w:p>
    <w:tbl>
      <w:tblPr>
        <w:tblW w:w="9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5"/>
      </w:tblGrid>
      <w:tr w:rsidR="00CB5832" w:rsidRPr="0049163C" w14:paraId="744AC8C0" w14:textId="77777777" w:rsidTr="002E5E90">
        <w:tc>
          <w:tcPr>
            <w:tcW w:w="9655" w:type="dxa"/>
            <w:tcBorders>
              <w:top w:val="nil"/>
              <w:left w:val="nil"/>
              <w:bottom w:val="single" w:sz="4" w:space="0" w:color="auto"/>
              <w:right w:val="nil"/>
            </w:tcBorders>
          </w:tcPr>
          <w:p w14:paraId="50AAD535" w14:textId="3606BFDA" w:rsidR="00CB5832" w:rsidRDefault="00CB5832" w:rsidP="002E5E90">
            <w:pPr>
              <w:jc w:val="both"/>
              <w:rPr>
                <w:bCs/>
                <w:i/>
                <w:iCs/>
              </w:rPr>
            </w:pPr>
          </w:p>
          <w:p w14:paraId="6BB75D22" w14:textId="77777777" w:rsidR="00CB5832" w:rsidRDefault="00CB5832" w:rsidP="002E5E90">
            <w:pPr>
              <w:jc w:val="both"/>
              <w:rPr>
                <w:bCs/>
                <w:i/>
                <w:iCs/>
              </w:rPr>
            </w:pPr>
          </w:p>
          <w:p w14:paraId="747CD6D6" w14:textId="77777777" w:rsidR="00CB5832" w:rsidRPr="0049163C" w:rsidRDefault="00CB5832" w:rsidP="002E5E90">
            <w:pPr>
              <w:jc w:val="both"/>
              <w:rPr>
                <w:bCs/>
                <w:i/>
                <w:iCs/>
              </w:rPr>
            </w:pPr>
          </w:p>
        </w:tc>
      </w:tr>
      <w:tr w:rsidR="00CB5832" w:rsidRPr="00923C2E" w14:paraId="6540A652" w14:textId="77777777" w:rsidTr="002E5E90">
        <w:tc>
          <w:tcPr>
            <w:tcW w:w="9655" w:type="dxa"/>
            <w:tcBorders>
              <w:top w:val="single" w:sz="4" w:space="0" w:color="auto"/>
              <w:left w:val="nil"/>
              <w:bottom w:val="nil"/>
              <w:right w:val="nil"/>
            </w:tcBorders>
            <w:hideMark/>
          </w:tcPr>
          <w:p w14:paraId="74045513" w14:textId="77777777" w:rsidR="00CB5832" w:rsidRPr="00923C2E" w:rsidRDefault="00CB5832" w:rsidP="002E5E90">
            <w:pPr>
              <w:jc w:val="both"/>
              <w:rPr>
                <w:rFonts w:ascii="Times New Roman" w:hAnsi="Times New Roman" w:cs="Times New Roman"/>
                <w:bCs/>
                <w:i/>
                <w:iCs/>
              </w:rPr>
            </w:pPr>
            <w:r w:rsidRPr="00923C2E">
              <w:rPr>
                <w:rFonts w:ascii="Times New Roman" w:hAnsi="Times New Roman" w:cs="Times New Roman"/>
                <w:bCs/>
                <w:i/>
                <w:iCs/>
              </w:rPr>
              <w:t>Pretendenta likumiskā vai pilnvarotā pārstāvja amats, vārds, uzvārds un paraksts* un datums*</w:t>
            </w:r>
          </w:p>
        </w:tc>
      </w:tr>
    </w:tbl>
    <w:p w14:paraId="7C3991B2" w14:textId="77777777" w:rsidR="00CB5832" w:rsidRPr="00923C2E" w:rsidRDefault="00CB5832" w:rsidP="00CB5832">
      <w:pPr>
        <w:jc w:val="both"/>
        <w:rPr>
          <w:rFonts w:ascii="Times New Roman" w:hAnsi="Times New Roman" w:cs="Times New Roman"/>
          <w:b/>
          <w:bCs/>
          <w:i/>
          <w:iCs/>
        </w:rPr>
      </w:pPr>
    </w:p>
    <w:p w14:paraId="479747CF" w14:textId="77777777" w:rsidR="00CB5832" w:rsidRPr="00923C2E" w:rsidRDefault="00CB5832" w:rsidP="00CB5832">
      <w:pPr>
        <w:jc w:val="both"/>
        <w:rPr>
          <w:rFonts w:ascii="Times New Roman" w:hAnsi="Times New Roman" w:cs="Times New Roman"/>
          <w:bCs/>
          <w:i/>
          <w:iCs/>
        </w:rPr>
      </w:pPr>
      <w:r w:rsidRPr="00923C2E">
        <w:rPr>
          <w:rFonts w:ascii="Times New Roman" w:hAnsi="Times New Roman" w:cs="Times New Roman"/>
          <w:bCs/>
          <w:i/>
          <w:iCs/>
        </w:rPr>
        <w:t>*Rekvizītus “paraksts” un “datums” neaizpilda, ja dokuments parakstīts elektroniski ar drošu elektronisko parakstu un satur laika zīmogu</w:t>
      </w:r>
    </w:p>
    <w:p w14:paraId="53A424CE" w14:textId="77777777" w:rsidR="00CB5832" w:rsidRPr="00EB1A43" w:rsidRDefault="00CB5832" w:rsidP="004062B7">
      <w:pPr>
        <w:spacing w:after="0" w:line="240" w:lineRule="auto"/>
        <w:rPr>
          <w:rFonts w:ascii="Times New Roman" w:hAnsi="Times New Roman" w:cs="Times New Roman"/>
          <w:color w:val="000000" w:themeColor="text1"/>
          <w:sz w:val="24"/>
          <w:szCs w:val="24"/>
        </w:rPr>
      </w:pPr>
    </w:p>
    <w:sectPr w:rsidR="00CB5832" w:rsidRPr="00EB1A43" w:rsidSect="00A9447D">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66F35" w14:textId="77777777" w:rsidR="00B34FE3" w:rsidRDefault="00B34FE3" w:rsidP="00A17F0C">
      <w:pPr>
        <w:spacing w:after="0" w:line="240" w:lineRule="auto"/>
      </w:pPr>
      <w:r>
        <w:separator/>
      </w:r>
    </w:p>
  </w:endnote>
  <w:endnote w:type="continuationSeparator" w:id="0">
    <w:p w14:paraId="557222B3" w14:textId="77777777" w:rsidR="00B34FE3" w:rsidRDefault="00B34FE3"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694190"/>
      <w:docPartObj>
        <w:docPartGallery w:val="Page Numbers (Bottom of Page)"/>
        <w:docPartUnique/>
      </w:docPartObj>
    </w:sdtPr>
    <w:sdtEndPr>
      <w:rPr>
        <w:rFonts w:ascii="Times New Roman" w:hAnsi="Times New Roman"/>
      </w:rPr>
    </w:sdtEndPr>
    <w:sdtContent>
      <w:p w14:paraId="1CADC493" w14:textId="77777777"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A9010E">
          <w:rPr>
            <w:rFonts w:ascii="Times New Roman" w:hAnsi="Times New Roman"/>
            <w:noProof/>
          </w:rPr>
          <w:t>1</w:t>
        </w:r>
        <w:r w:rsidRPr="00F26C2D">
          <w:rPr>
            <w:rFonts w:ascii="Times New Roman" w:hAnsi="Times New Roman"/>
          </w:rPr>
          <w:fldChar w:fldCharType="end"/>
        </w:r>
      </w:p>
    </w:sdtContent>
  </w:sdt>
  <w:p w14:paraId="515AEF1A" w14:textId="77777777"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C6C3" w14:textId="77777777" w:rsidR="00B34FE3" w:rsidRDefault="00B34FE3" w:rsidP="00A17F0C">
      <w:pPr>
        <w:spacing w:after="0" w:line="240" w:lineRule="auto"/>
      </w:pPr>
      <w:r>
        <w:separator/>
      </w:r>
    </w:p>
  </w:footnote>
  <w:footnote w:type="continuationSeparator" w:id="0">
    <w:p w14:paraId="7B99263B" w14:textId="77777777" w:rsidR="00B34FE3" w:rsidRDefault="00B34FE3" w:rsidP="00A17F0C">
      <w:pPr>
        <w:spacing w:after="0" w:line="240" w:lineRule="auto"/>
      </w:pPr>
      <w:r>
        <w:continuationSeparator/>
      </w:r>
    </w:p>
  </w:footnote>
  <w:footnote w:id="1">
    <w:p w14:paraId="3E2254DA" w14:textId="29638AB3" w:rsidR="00E974CF" w:rsidRDefault="00E974CF" w:rsidP="00E830B3">
      <w:pPr>
        <w:pStyle w:val="Vresteksts"/>
        <w:jc w:val="both"/>
      </w:pPr>
      <w:r>
        <w:rPr>
          <w:rStyle w:val="Vresatsauce"/>
        </w:rPr>
        <w:footnoteRef/>
      </w:r>
      <w:r>
        <w:t xml:space="preserve"> </w:t>
      </w:r>
      <w:bookmarkStart w:id="0" w:name="_Hlk105749238"/>
      <w:r w:rsidR="004062B7">
        <w:rPr>
          <w:rFonts w:ascii="Times New Roman" w:hAnsi="Times New Roman"/>
        </w:rPr>
        <w:t>D</w:t>
      </w:r>
      <w:r w:rsidR="004062B7" w:rsidRPr="004062B7">
        <w:rPr>
          <w:rFonts w:ascii="Times New Roman" w:hAnsi="Times New Roman"/>
        </w:rPr>
        <w:t xml:space="preserve">arba organizācijas aprakstā: </w:t>
      </w:r>
      <w:r w:rsidR="003D793F">
        <w:rPr>
          <w:rFonts w:ascii="Times New Roman" w:hAnsi="Times New Roman"/>
        </w:rPr>
        <w:t>1</w:t>
      </w:r>
      <w:r w:rsidR="004062B7" w:rsidRPr="004062B7">
        <w:rPr>
          <w:rFonts w:ascii="Times New Roman" w:hAnsi="Times New Roman"/>
        </w:rPr>
        <w:t xml:space="preserve">) un </w:t>
      </w:r>
      <w:r w:rsidR="003D793F">
        <w:rPr>
          <w:rFonts w:ascii="Times New Roman" w:hAnsi="Times New Roman"/>
        </w:rPr>
        <w:t>2</w:t>
      </w:r>
      <w:r w:rsidR="004062B7" w:rsidRPr="004062B7">
        <w:rPr>
          <w:rFonts w:ascii="Times New Roman" w:hAnsi="Times New Roman"/>
        </w:rPr>
        <w:t>) punktā pieprasītā informācija par ēdināšanas pakalpojumu darba procesiem un tehnisko aprīkojumu ir jānorāda par katru Iestādi, kas iekļauta tajā Iepirkuma daļā/daļās, kurās pretendents iesniedz piedāvājumu;</w:t>
      </w:r>
      <w:bookmarkEnd w:id="0"/>
      <w:r w:rsidR="003D793F">
        <w:rPr>
          <w:rFonts w:ascii="Times New Roman" w:hAnsi="Times New Roman"/>
        </w:rPr>
        <w:t xml:space="preserve"> </w:t>
      </w:r>
      <w:r w:rsidR="003D793F" w:rsidRPr="004062B7">
        <w:rPr>
          <w:rFonts w:ascii="Times New Roman" w:hAnsi="Times New Roman"/>
        </w:rPr>
        <w:t>savukārt,</w:t>
      </w:r>
      <w:r w:rsidR="003D793F">
        <w:rPr>
          <w:rFonts w:ascii="Times New Roman" w:hAnsi="Times New Roman"/>
        </w:rPr>
        <w:t>3</w:t>
      </w:r>
      <w:r w:rsidR="003D793F" w:rsidRPr="004062B7">
        <w:rPr>
          <w:rFonts w:ascii="Times New Roman" w:hAnsi="Times New Roman"/>
        </w:rPr>
        <w:t>) punktā pieprasītā informācija par ēdināšanas pakalpojumu līgumu un norēķinu ar izglītojamo vecākiem elektronisku apstrādi var būt attiecināma uz visām Iestādēm, tādēļ to var norādīt vienu reizi un nav nepieciešams dublēt</w:t>
      </w:r>
      <w:r w:rsidR="003D793F">
        <w:rPr>
          <w:rFonts w:ascii="Times New Roman" w:hAnsi="Times New Roman"/>
        </w:rPr>
        <w:t>.</w:t>
      </w:r>
    </w:p>
  </w:footnote>
  <w:footnote w:id="2">
    <w:p w14:paraId="50026BD1" w14:textId="77777777" w:rsidR="00D42A88" w:rsidRPr="00B45F12" w:rsidRDefault="00D42A88" w:rsidP="00D42A88">
      <w:pPr>
        <w:pStyle w:val="Vresteksts"/>
        <w:jc w:val="both"/>
      </w:pPr>
      <w:r w:rsidRPr="00B45F12">
        <w:rPr>
          <w:rStyle w:val="Vresatsauce"/>
        </w:rPr>
        <w:footnoteRef/>
      </w:r>
      <w:r w:rsidRPr="00B45F12">
        <w:t xml:space="preserve"> </w:t>
      </w:r>
      <w:r w:rsidRPr="004062B7">
        <w:rPr>
          <w:rFonts w:ascii="Times New Roman" w:eastAsia="TimesNewRoman" w:hAnsi="Times New Roman" w:cs="Times New Roman"/>
          <w:iCs/>
          <w:color w:val="000000"/>
        </w:rPr>
        <w:t>Pasūtītāja ieskatā ēdināšanas pakalpojuma līguma izpildei ir obligāti nepieciešams vismaz šāds aprīkojums: elektriskā plīts, elektriskā panna, vismaz divi ledusskapji (viens jēlproduktiem, otrs – termiski apstrādātiem produktiem), gaļas maļamā mašīna, svari, virtuves mazvērtīgais aprīkojums ražošanai, galda trauki un piederumi, telpu uzkopšanas inventārs. Minētā aprīkojuma skaits un raksturojošie rādītāji (izmēri, jauda, ietilpība, ražīgums u.c.)  ir atkarīgs no ēdināšanas pakalpojuma saņēmēju skaita attiecīgajā Iepirkuma daļā..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7D03"/>
    <w:multiLevelType w:val="hybridMultilevel"/>
    <w:tmpl w:val="33661FC6"/>
    <w:lvl w:ilvl="0" w:tplc="04260011">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1EED2134"/>
    <w:multiLevelType w:val="hybridMultilevel"/>
    <w:tmpl w:val="E9C8305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4" w15:restartNumberingAfterBreak="0">
    <w:nsid w:val="41BE6254"/>
    <w:multiLevelType w:val="multilevel"/>
    <w:tmpl w:val="22ACAB50"/>
    <w:lvl w:ilvl="0">
      <w:start w:val="1"/>
      <w:numFmt w:val="decimal"/>
      <w:suff w:val="space"/>
      <w:lvlText w:val="%1."/>
      <w:lvlJc w:val="left"/>
      <w:pPr>
        <w:ind w:left="6881" w:hanging="360"/>
      </w:pPr>
      <w:rPr>
        <w:rFonts w:cs="Times New Roman" w:hint="default"/>
        <w:b w:val="0"/>
        <w:bCs/>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5" w15:restartNumberingAfterBreak="0">
    <w:nsid w:val="4A304F26"/>
    <w:multiLevelType w:val="hybridMultilevel"/>
    <w:tmpl w:val="5BB6E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D5BBB"/>
    <w:multiLevelType w:val="hybridMultilevel"/>
    <w:tmpl w:val="BE685566"/>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D1E5CA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0332596">
    <w:abstractNumId w:val="3"/>
  </w:num>
  <w:num w:numId="2" w16cid:durableId="1299722849">
    <w:abstractNumId w:val="1"/>
  </w:num>
  <w:num w:numId="3" w16cid:durableId="1660425299">
    <w:abstractNumId w:val="8"/>
  </w:num>
  <w:num w:numId="4" w16cid:durableId="1923639693">
    <w:abstractNumId w:val="4"/>
  </w:num>
  <w:num w:numId="5" w16cid:durableId="952204990">
    <w:abstractNumId w:val="0"/>
  </w:num>
  <w:num w:numId="6" w16cid:durableId="846554862">
    <w:abstractNumId w:val="6"/>
  </w:num>
  <w:num w:numId="7" w16cid:durableId="366682867">
    <w:abstractNumId w:val="2"/>
  </w:num>
  <w:num w:numId="8" w16cid:durableId="1283607931">
    <w:abstractNumId w:val="5"/>
  </w:num>
  <w:num w:numId="9" w16cid:durableId="918908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02886"/>
    <w:rsid w:val="00027EDB"/>
    <w:rsid w:val="00046C5B"/>
    <w:rsid w:val="00046EF9"/>
    <w:rsid w:val="00052E49"/>
    <w:rsid w:val="00063750"/>
    <w:rsid w:val="000A3731"/>
    <w:rsid w:val="000C039F"/>
    <w:rsid w:val="000D232C"/>
    <w:rsid w:val="000D798F"/>
    <w:rsid w:val="001D1474"/>
    <w:rsid w:val="00267949"/>
    <w:rsid w:val="002C09D5"/>
    <w:rsid w:val="00335A1C"/>
    <w:rsid w:val="00354B68"/>
    <w:rsid w:val="00382FE6"/>
    <w:rsid w:val="003A257F"/>
    <w:rsid w:val="003D793F"/>
    <w:rsid w:val="003F41E4"/>
    <w:rsid w:val="004062B7"/>
    <w:rsid w:val="00454812"/>
    <w:rsid w:val="0048352C"/>
    <w:rsid w:val="004A7450"/>
    <w:rsid w:val="004D644A"/>
    <w:rsid w:val="004F63CC"/>
    <w:rsid w:val="00563D8F"/>
    <w:rsid w:val="0057061C"/>
    <w:rsid w:val="005731BD"/>
    <w:rsid w:val="006373BF"/>
    <w:rsid w:val="0064641B"/>
    <w:rsid w:val="0064689C"/>
    <w:rsid w:val="006B3CDA"/>
    <w:rsid w:val="006C7F28"/>
    <w:rsid w:val="006F380D"/>
    <w:rsid w:val="006F4F14"/>
    <w:rsid w:val="00704134"/>
    <w:rsid w:val="0071517C"/>
    <w:rsid w:val="00722EA7"/>
    <w:rsid w:val="0072460B"/>
    <w:rsid w:val="00744E17"/>
    <w:rsid w:val="00767F42"/>
    <w:rsid w:val="007C3ADC"/>
    <w:rsid w:val="007F7448"/>
    <w:rsid w:val="00863A77"/>
    <w:rsid w:val="0087101B"/>
    <w:rsid w:val="008A65B0"/>
    <w:rsid w:val="008B1915"/>
    <w:rsid w:val="0090101F"/>
    <w:rsid w:val="00923C2E"/>
    <w:rsid w:val="009D2C78"/>
    <w:rsid w:val="00A17F0C"/>
    <w:rsid w:val="00A9010E"/>
    <w:rsid w:val="00A9447D"/>
    <w:rsid w:val="00AA21AE"/>
    <w:rsid w:val="00AB366A"/>
    <w:rsid w:val="00AD71FD"/>
    <w:rsid w:val="00AF4F74"/>
    <w:rsid w:val="00B058CB"/>
    <w:rsid w:val="00B33B12"/>
    <w:rsid w:val="00B34FE3"/>
    <w:rsid w:val="00B4525C"/>
    <w:rsid w:val="00B45F12"/>
    <w:rsid w:val="00B71AC8"/>
    <w:rsid w:val="00B74087"/>
    <w:rsid w:val="00B804F4"/>
    <w:rsid w:val="00B92CAE"/>
    <w:rsid w:val="00BE6D60"/>
    <w:rsid w:val="00BE7456"/>
    <w:rsid w:val="00C4010D"/>
    <w:rsid w:val="00C54DF1"/>
    <w:rsid w:val="00C841FD"/>
    <w:rsid w:val="00C864D0"/>
    <w:rsid w:val="00CA104F"/>
    <w:rsid w:val="00CB5832"/>
    <w:rsid w:val="00CF3606"/>
    <w:rsid w:val="00D06A75"/>
    <w:rsid w:val="00D21814"/>
    <w:rsid w:val="00D36912"/>
    <w:rsid w:val="00D42A88"/>
    <w:rsid w:val="00D6547D"/>
    <w:rsid w:val="00DA5D60"/>
    <w:rsid w:val="00DB2B8E"/>
    <w:rsid w:val="00DC3D95"/>
    <w:rsid w:val="00DE5D57"/>
    <w:rsid w:val="00DF35B2"/>
    <w:rsid w:val="00DF59A8"/>
    <w:rsid w:val="00E14BCD"/>
    <w:rsid w:val="00E41364"/>
    <w:rsid w:val="00E830B3"/>
    <w:rsid w:val="00E862A7"/>
    <w:rsid w:val="00E974CF"/>
    <w:rsid w:val="00EB1A43"/>
    <w:rsid w:val="00EE3F36"/>
    <w:rsid w:val="00EF49CC"/>
    <w:rsid w:val="00EF51ED"/>
    <w:rsid w:val="00F001A7"/>
    <w:rsid w:val="00F26C2D"/>
    <w:rsid w:val="00F4410F"/>
    <w:rsid w:val="00F63B9C"/>
    <w:rsid w:val="00FB01D4"/>
    <w:rsid w:val="00FC61A7"/>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2C6C"/>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aliases w:val="2,Strip,Numbered Para 1,Dot pt,List Paragraph Char Char Char,Indicator Text,List Paragraph1,Bullet Points,MAIN CONTENT,IFCL - List Paragraph,List Paragraph12,OBC Bullet,F5 List Paragraph,Colorful List - Accent 11,Bullet Styl,Syle 1"/>
    <w:basedOn w:val="Parasts"/>
    <w:link w:val="SarakstarindkopaRakstz"/>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 w:type="table" w:styleId="Reatabula">
    <w:name w:val="Table Grid"/>
    <w:basedOn w:val="Parastatabula"/>
    <w:uiPriority w:val="39"/>
    <w:rsid w:val="00E97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062B7"/>
    <w:rPr>
      <w:color w:val="0000FF" w:themeColor="hyperlink"/>
      <w:u w:val="single"/>
    </w:rPr>
  </w:style>
  <w:style w:type="character" w:customStyle="1" w:styleId="SarakstarindkopaRakstz">
    <w:name w:val="Saraksta rindkopa Rakstz."/>
    <w:aliases w:val="2 Rakstz.,Strip Rakstz.,Numbered Para 1 Rakstz.,Dot pt Rakstz.,List Paragraph Char Char Char Rakstz.,Indicator Text Rakstz.,List Paragraph1 Rakstz.,Bullet Points Rakstz.,MAIN CONTENT Rakstz.,IFCL - List Paragraph Rakstz."/>
    <w:link w:val="Sarakstarindkopa"/>
    <w:uiPriority w:val="34"/>
    <w:qFormat/>
    <w:locked/>
    <w:rsid w:val="004062B7"/>
    <w:rPr>
      <w:rFonts w:ascii="Calibri" w:eastAsia="Calibri" w:hAnsi="Calibri" w:cs="Calibri"/>
    </w:rPr>
  </w:style>
  <w:style w:type="paragraph" w:styleId="Balonteksts">
    <w:name w:val="Balloon Text"/>
    <w:basedOn w:val="Parasts"/>
    <w:link w:val="BalontekstsRakstz"/>
    <w:uiPriority w:val="99"/>
    <w:semiHidden/>
    <w:unhideWhenUsed/>
    <w:rsid w:val="0090101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0101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35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8A248-1320-44B3-BA66-0633AA78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8000</Words>
  <Characters>4561</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Graudumniece</dc:creator>
  <cp:lastModifiedBy>Anastasija Goļatkina</cp:lastModifiedBy>
  <cp:revision>5</cp:revision>
  <cp:lastPrinted>2022-06-09T10:53:00Z</cp:lastPrinted>
  <dcterms:created xsi:type="dcterms:W3CDTF">2023-11-16T19:26:00Z</dcterms:created>
  <dcterms:modified xsi:type="dcterms:W3CDTF">2024-11-06T14:23:00Z</dcterms:modified>
</cp:coreProperties>
</file>