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55D8A0F6" w:rsidR="00C54CA1" w:rsidRPr="003000A4" w:rsidRDefault="00B54AE9" w:rsidP="00A83936">
      <w:pPr>
        <w:ind w:firstLine="720"/>
        <w:jc w:val="both"/>
        <w:rPr>
          <w:bCs/>
        </w:rPr>
      </w:pPr>
      <w:r w:rsidRPr="00863F71">
        <w:rPr>
          <w:color w:val="000000"/>
        </w:rPr>
        <w:t>Atbil</w:t>
      </w:r>
      <w:r w:rsidR="004D0256">
        <w:rPr>
          <w:color w:val="000000"/>
        </w:rPr>
        <w:t>de</w:t>
      </w:r>
      <w:r w:rsidR="00807971">
        <w:rPr>
          <w:color w:val="000000"/>
        </w:rPr>
        <w:t>s</w:t>
      </w:r>
      <w:r w:rsidRPr="00863F71">
        <w:rPr>
          <w:color w:val="000000"/>
        </w:rPr>
        <w:t xml:space="preserve"> uz ieinteresēt</w:t>
      </w:r>
      <w:r w:rsidR="00432460">
        <w:rPr>
          <w:color w:val="000000"/>
        </w:rPr>
        <w:t>ā</w:t>
      </w:r>
      <w:r w:rsidRPr="00863F71">
        <w:rPr>
          <w:color w:val="000000"/>
        </w:rPr>
        <w:t xml:space="preserve"> </w:t>
      </w:r>
      <w:r w:rsidR="003128F8">
        <w:rPr>
          <w:color w:val="000000"/>
        </w:rPr>
        <w:t>piegādātāj</w:t>
      </w:r>
      <w:r w:rsidR="00432460">
        <w:rPr>
          <w:color w:val="000000"/>
        </w:rPr>
        <w:t>a</w:t>
      </w:r>
      <w:r w:rsidRPr="00863F71">
        <w:rPr>
          <w:color w:val="000000"/>
        </w:rPr>
        <w:t xml:space="preserve"> </w:t>
      </w:r>
      <w:r w:rsidR="00957AEC">
        <w:rPr>
          <w:color w:val="000000"/>
        </w:rPr>
        <w:t>05</w:t>
      </w:r>
      <w:r w:rsidR="00432460">
        <w:rPr>
          <w:color w:val="000000"/>
        </w:rPr>
        <w:t>.</w:t>
      </w:r>
      <w:r w:rsidR="00030103">
        <w:rPr>
          <w:color w:val="000000"/>
        </w:rPr>
        <w:t>0</w:t>
      </w:r>
      <w:r w:rsidR="00E86428">
        <w:rPr>
          <w:color w:val="000000"/>
        </w:rPr>
        <w:t>6</w:t>
      </w:r>
      <w:r w:rsidR="00432460">
        <w:rPr>
          <w:color w:val="000000"/>
        </w:rPr>
        <w:t>.202</w:t>
      </w:r>
      <w:r w:rsidR="00957AEC">
        <w:rPr>
          <w:color w:val="000000"/>
        </w:rPr>
        <w:t>5</w:t>
      </w:r>
      <w:r w:rsidR="00432460">
        <w:rPr>
          <w:color w:val="000000"/>
        </w:rPr>
        <w:t>. saņemt</w:t>
      </w:r>
      <w:r w:rsidR="00807971">
        <w:rPr>
          <w:color w:val="000000"/>
        </w:rPr>
        <w:t>ajiem</w:t>
      </w:r>
      <w:r w:rsidR="00432460">
        <w:rPr>
          <w:color w:val="000000"/>
        </w:rPr>
        <w:t xml:space="preserve"> </w:t>
      </w:r>
      <w:r w:rsidRPr="00863F71">
        <w:rPr>
          <w:color w:val="000000"/>
        </w:rPr>
        <w:t>jautājum</w:t>
      </w:r>
      <w:r w:rsidR="00807971">
        <w:rPr>
          <w:color w:val="000000"/>
        </w:rPr>
        <w:t>iem</w:t>
      </w:r>
      <w:r w:rsidRPr="00863F71">
        <w:rPr>
          <w:color w:val="000000"/>
        </w:rPr>
        <w:t xml:space="preserve"> </w:t>
      </w:r>
      <w:r w:rsidR="00030103" w:rsidRPr="00030103">
        <w:t>Rīgas valstspilsētas pašvaldības Izglītības, kultūras un sporta departamenta (turpmāk – Departaments vai Pasūtītājs) iepirkumā “</w:t>
      </w:r>
      <w:r w:rsidR="00957AEC" w:rsidRPr="00957AEC">
        <w:t>XIII Latvijas Skolu jaunatnes dziesmu un deju svētku Rīgas valstspilsētas pašvaldības dalībnieku ēdināšanas pakalpojumu nodrošināšana</w:t>
      </w:r>
      <w:r w:rsidR="00030103" w:rsidRPr="00030103">
        <w:t xml:space="preserve">” (identifikācijas Nr. RVPIKSD </w:t>
      </w:r>
      <w:r w:rsidR="00957AEC" w:rsidRPr="00957AEC">
        <w:t>2025/17</w:t>
      </w:r>
      <w:r w:rsidR="00030103" w:rsidRPr="00030103">
        <w:t>)</w:t>
      </w:r>
      <w:r w:rsidR="00A83936" w:rsidRPr="003000A4">
        <w:t xml:space="preserve"> (turpmāk – Iepirkums)</w:t>
      </w:r>
      <w:r w:rsidR="00C54CA1" w:rsidRPr="003000A4">
        <w:t>.</w:t>
      </w:r>
      <w:r w:rsidR="00C54CA1" w:rsidRPr="003000A4">
        <w:rPr>
          <w:b/>
        </w:rPr>
        <w:t xml:space="preserve"> </w:t>
      </w:r>
    </w:p>
    <w:p w14:paraId="0778B7DC" w14:textId="77777777" w:rsidR="00C54CA1" w:rsidRDefault="00C54CA1" w:rsidP="00C54CA1">
      <w:pPr>
        <w:jc w:val="both"/>
      </w:pPr>
    </w:p>
    <w:p w14:paraId="6BFD0EE2" w14:textId="77777777" w:rsidR="0005596E" w:rsidRPr="0005596E" w:rsidRDefault="0005596E" w:rsidP="0005596E">
      <w:pPr>
        <w:jc w:val="both"/>
        <w:rPr>
          <w:rFonts w:ascii="Aptos" w:eastAsia="Aptos" w:hAnsi="Aptos" w:cs="Aptos"/>
          <w:b/>
          <w:bCs/>
          <w:sz w:val="22"/>
          <w:szCs w:val="22"/>
          <w:lang w:eastAsia="lv-LV"/>
        </w:rPr>
      </w:pPr>
      <w:bookmarkStart w:id="0" w:name="x__Hlk200016041"/>
      <w:r w:rsidRPr="0005596E">
        <w:rPr>
          <w:rFonts w:eastAsia="Aptos"/>
          <w:b/>
          <w:bCs/>
          <w:u w:val="single"/>
          <w:lang w:eastAsia="lv-LV"/>
        </w:rPr>
        <w:t>1.jautājums</w:t>
      </w:r>
      <w:bookmarkEnd w:id="0"/>
      <w:r w:rsidRPr="0005596E">
        <w:rPr>
          <w:rFonts w:eastAsia="Aptos"/>
          <w:b/>
          <w:bCs/>
          <w:u w:val="single"/>
          <w:lang w:eastAsia="lv-LV"/>
        </w:rPr>
        <w:t>:</w:t>
      </w:r>
    </w:p>
    <w:p w14:paraId="6630E577"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Nolikuma punkts 6.2. nosaka, ka Pretendents sagatavo un iesniedz tehnisko piedāvājumu, kurā iekļauj šādus dokumentus:</w:t>
      </w:r>
    </w:p>
    <w:p w14:paraId="7CDFFFB0"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6.2.1. produktu sarakstu;</w:t>
      </w:r>
    </w:p>
    <w:p w14:paraId="3860EDA3"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 xml:space="preserve">6.2.2. apliecinājumu par </w:t>
      </w:r>
      <w:r w:rsidRPr="0005596E">
        <w:rPr>
          <w:rFonts w:eastAsia="Aptos"/>
          <w:b/>
          <w:bCs/>
          <w:lang w:eastAsia="lv-LV"/>
        </w:rPr>
        <w:t>ēdienu piegādēs</w:t>
      </w:r>
      <w:r w:rsidRPr="0005596E">
        <w:rPr>
          <w:rFonts w:eastAsia="Aptos"/>
          <w:lang w:eastAsia="lv-LV"/>
        </w:rPr>
        <w:t> izmantojamo transportlīdzekļu atbilstību.</w:t>
      </w:r>
    </w:p>
    <w:p w14:paraId="798952DD"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 xml:space="preserve">Arī nolikuma punktā 6.7. norādīts, ka Pretendentam jāiesniedz apliecinājums ar pielikumiem (atbilstoši Nolikuma 7.pielikumam) par </w:t>
      </w:r>
      <w:r w:rsidRPr="0005596E">
        <w:rPr>
          <w:rFonts w:eastAsia="Aptos"/>
          <w:b/>
          <w:bCs/>
          <w:lang w:eastAsia="lv-LV"/>
        </w:rPr>
        <w:t>ēdienu piegādēs</w:t>
      </w:r>
      <w:r w:rsidRPr="0005596E">
        <w:rPr>
          <w:rFonts w:eastAsia="Aptos"/>
          <w:lang w:eastAsia="lv-LV"/>
        </w:rPr>
        <w:t> izmantojamo transportlīdzekļu atbilstību.</w:t>
      </w:r>
    </w:p>
    <w:p w14:paraId="243CE185"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 xml:space="preserve">Savukārt, nolikuma 7.pielikums “Apliecinājums par </w:t>
      </w:r>
      <w:r w:rsidRPr="0005596E">
        <w:rPr>
          <w:rFonts w:eastAsia="Aptos"/>
          <w:b/>
          <w:bCs/>
          <w:lang w:eastAsia="lv-LV"/>
        </w:rPr>
        <w:t>pārtikas produktu piegādēs</w:t>
      </w:r>
      <w:r w:rsidRPr="0005596E">
        <w:rPr>
          <w:rFonts w:eastAsia="Aptos"/>
          <w:lang w:eastAsia="lv-LV"/>
        </w:rPr>
        <w:t xml:space="preserve"> izmantojamo transportlīdzekļu atbilstību” paredz norādīt informāciju par transporta līdzekļiem, ko paredzēts izmantot tehniskajā piedāvājumā noteikto </w:t>
      </w:r>
      <w:r w:rsidRPr="0005596E">
        <w:rPr>
          <w:rFonts w:eastAsia="Aptos"/>
          <w:b/>
          <w:bCs/>
          <w:lang w:eastAsia="lv-LV"/>
        </w:rPr>
        <w:t>pārtikas produktu piegādei</w:t>
      </w:r>
      <w:r w:rsidRPr="0005596E">
        <w:rPr>
          <w:rFonts w:eastAsia="Aptos"/>
          <w:lang w:eastAsia="lv-LV"/>
        </w:rPr>
        <w:t> no pārtikas produktu izcelsmes (audzēšanas/ražošanas) vietas.</w:t>
      </w:r>
    </w:p>
    <w:p w14:paraId="4EA48142" w14:textId="77777777" w:rsidR="0005596E" w:rsidRPr="0005596E" w:rsidRDefault="0005596E" w:rsidP="0005596E">
      <w:pPr>
        <w:spacing w:after="120"/>
        <w:jc w:val="both"/>
        <w:rPr>
          <w:rFonts w:ascii="Aptos" w:eastAsia="Aptos" w:hAnsi="Aptos" w:cs="Aptos"/>
          <w:sz w:val="22"/>
          <w:szCs w:val="22"/>
          <w:lang w:eastAsia="lv-LV"/>
        </w:rPr>
      </w:pPr>
      <w:r w:rsidRPr="0005596E">
        <w:rPr>
          <w:rFonts w:eastAsia="Aptos"/>
          <w:lang w:eastAsia="lv-LV"/>
        </w:rPr>
        <w:t xml:space="preserve">Tā kā pārtikas produktu piegādi Pretendentam veic paši ražotāji vai piegādātāji un šie transporta līdzekļi nav ne Pretendenta īpašumā, ne lietošanā, lūdzam precizēt, vai 7.pielikuma tabulā var norādīt tikai tos transporta līdzekļus, kurus plānots izmantot </w:t>
      </w:r>
      <w:r w:rsidRPr="0005596E">
        <w:rPr>
          <w:rFonts w:eastAsia="Aptos"/>
          <w:b/>
          <w:bCs/>
          <w:lang w:eastAsia="lv-LV"/>
        </w:rPr>
        <w:t xml:space="preserve">ēdienu piegādēs </w:t>
      </w:r>
      <w:r w:rsidRPr="0005596E">
        <w:rPr>
          <w:rFonts w:eastAsia="Aptos"/>
          <w:lang w:eastAsia="lv-LV"/>
        </w:rPr>
        <w:t>un kuri ir Pretendenta īpašumā vai lietošanā.</w:t>
      </w:r>
    </w:p>
    <w:p w14:paraId="17FFA7EE" w14:textId="77777777" w:rsidR="0005596E" w:rsidRPr="0005596E" w:rsidRDefault="0005596E" w:rsidP="0005596E">
      <w:pPr>
        <w:rPr>
          <w:rFonts w:ascii="Aptos" w:eastAsia="Aptos" w:hAnsi="Aptos" w:cs="Aptos"/>
          <w:sz w:val="22"/>
          <w:szCs w:val="22"/>
          <w:lang w:eastAsia="lv-LV"/>
        </w:rPr>
      </w:pPr>
      <w:r w:rsidRPr="0005596E">
        <w:rPr>
          <w:rFonts w:eastAsia="Aptos"/>
          <w:b/>
          <w:bCs/>
          <w:color w:val="0070C0"/>
          <w:lang w:eastAsia="lv-LV"/>
        </w:rPr>
        <w:t> </w:t>
      </w:r>
    </w:p>
    <w:p w14:paraId="45DA1EF7" w14:textId="77777777" w:rsidR="0005596E" w:rsidRPr="0005596E" w:rsidRDefault="0005596E" w:rsidP="0005596E">
      <w:pPr>
        <w:rPr>
          <w:rFonts w:ascii="Aptos" w:eastAsia="Aptos" w:hAnsi="Aptos" w:cs="Aptos"/>
          <w:b/>
          <w:bCs/>
          <w:sz w:val="22"/>
          <w:szCs w:val="22"/>
          <w:lang w:eastAsia="lv-LV"/>
        </w:rPr>
      </w:pPr>
      <w:r w:rsidRPr="0005596E">
        <w:rPr>
          <w:rFonts w:eastAsia="Aptos"/>
          <w:b/>
          <w:bCs/>
          <w:u w:val="single"/>
          <w:lang w:eastAsia="lv-LV"/>
        </w:rPr>
        <w:t>Atbilde uz 1.jautājumu</w:t>
      </w:r>
    </w:p>
    <w:p w14:paraId="5BE2CAD6" w14:textId="77777777" w:rsidR="0005596E" w:rsidRPr="0005596E" w:rsidRDefault="0005596E" w:rsidP="0005596E">
      <w:pPr>
        <w:rPr>
          <w:rFonts w:ascii="Aptos" w:eastAsia="Aptos" w:hAnsi="Aptos" w:cs="Aptos"/>
          <w:sz w:val="22"/>
          <w:szCs w:val="22"/>
          <w:lang w:eastAsia="lv-LV"/>
        </w:rPr>
      </w:pPr>
      <w:r w:rsidRPr="0005596E">
        <w:rPr>
          <w:rFonts w:eastAsia="Aptos"/>
          <w:lang w:eastAsia="lv-LV"/>
        </w:rPr>
        <w:t> </w:t>
      </w:r>
    </w:p>
    <w:p w14:paraId="268C5D2B" w14:textId="77777777" w:rsidR="0005596E" w:rsidRPr="0005596E" w:rsidRDefault="0005596E" w:rsidP="0005596E">
      <w:pPr>
        <w:jc w:val="both"/>
        <w:rPr>
          <w:rFonts w:ascii="Aptos" w:eastAsia="Aptos" w:hAnsi="Aptos" w:cs="Aptos"/>
          <w:sz w:val="22"/>
          <w:szCs w:val="22"/>
          <w:lang w:eastAsia="lv-LV"/>
        </w:rPr>
      </w:pPr>
      <w:r w:rsidRPr="0005596E">
        <w:rPr>
          <w:rFonts w:eastAsia="Aptos"/>
          <w:lang w:eastAsia="lv-LV"/>
        </w:rPr>
        <w:t>Tā kā “ēdiens” arī ir “pārtikas produkts”, tad dokumenta (Nolikuma 7.pielikums) nosaukums  lietots plašākā nozīmē. Līdz ar to informējam, ka Nolikuma 7.pielikumā “Apliecinājums par pārtikas produktu piegādēs izmantojamo transportlīdzekļu atbilstību” ir ieviesusies tehniskā neprecizitāte, jo ar vārdiem “pārtikas produkts” domāts vārds “ēdiens” atbilstoši Nolikuma 6.2.2. un 6.7. punktos norādītajam.</w:t>
      </w:r>
    </w:p>
    <w:p w14:paraId="71DF03E6" w14:textId="77777777" w:rsidR="0005596E" w:rsidRPr="0005596E" w:rsidRDefault="0005596E" w:rsidP="0005596E">
      <w:pPr>
        <w:jc w:val="both"/>
        <w:rPr>
          <w:rFonts w:eastAsia="Aptos"/>
          <w:lang w:eastAsia="lv-LV"/>
        </w:rPr>
      </w:pPr>
      <w:r w:rsidRPr="0005596E">
        <w:rPr>
          <w:rFonts w:eastAsia="Aptos"/>
          <w:lang w:eastAsia="lv-LV"/>
        </w:rPr>
        <w:t>Ņemot vērā minēto, pretendents, aizpildot Nolikuma 7.pielikumu, var norādīt tikai tos transporta līdzekļus, kurus plānots izmantot ēdienu piegādēs (no ēdienu gatavošanas vietas līdz ēdienu izsniegšanas vietai), un kuri ir Pretendenta īpašumā vai lietošanā.</w:t>
      </w:r>
    </w:p>
    <w:p w14:paraId="13A58120" w14:textId="77777777" w:rsidR="0005596E" w:rsidRPr="0005596E" w:rsidRDefault="0005596E" w:rsidP="0005596E">
      <w:pPr>
        <w:rPr>
          <w:rFonts w:eastAsia="Aptos"/>
          <w:color w:val="0070C0"/>
          <w:lang w:eastAsia="lv-LV"/>
        </w:rPr>
      </w:pPr>
    </w:p>
    <w:p w14:paraId="4F5751C3" w14:textId="77777777" w:rsidR="0005596E" w:rsidRPr="0005596E" w:rsidRDefault="0005596E" w:rsidP="0005596E">
      <w:pPr>
        <w:spacing w:line="257" w:lineRule="auto"/>
        <w:jc w:val="both"/>
        <w:rPr>
          <w:rFonts w:eastAsia="Calibri"/>
          <w:b/>
          <w:bCs/>
          <w:color w:val="000000"/>
          <w:kern w:val="2"/>
          <w:u w:val="single"/>
          <w14:ligatures w14:val="standardContextual"/>
        </w:rPr>
      </w:pPr>
      <w:r w:rsidRPr="0005596E">
        <w:rPr>
          <w:rFonts w:eastAsia="Calibri"/>
          <w:b/>
          <w:bCs/>
          <w:color w:val="000000"/>
          <w:kern w:val="2"/>
          <w:u w:val="single"/>
          <w14:ligatures w14:val="standardContextual"/>
        </w:rPr>
        <w:t>2.jautājums:</w:t>
      </w:r>
    </w:p>
    <w:p w14:paraId="63E874F6" w14:textId="77777777" w:rsidR="0005596E" w:rsidRPr="0005596E" w:rsidRDefault="0005596E" w:rsidP="0005596E">
      <w:pPr>
        <w:spacing w:line="257" w:lineRule="auto"/>
        <w:jc w:val="both"/>
        <w:rPr>
          <w:rFonts w:eastAsia="Calibri"/>
          <w:color w:val="000000"/>
          <w:kern w:val="2"/>
          <w14:ligatures w14:val="standardContextual"/>
        </w:rPr>
      </w:pPr>
      <w:r w:rsidRPr="0005596E">
        <w:rPr>
          <w:rFonts w:eastAsia="Calibri"/>
          <w:color w:val="000000"/>
          <w:kern w:val="2"/>
          <w14:ligatures w14:val="standardContextual"/>
        </w:rPr>
        <w:t>Tehniskās specifikācijas 1.3. punkts nosaka, ka ēdiena sadales zonai paredzēto 25 m</w:t>
      </w:r>
      <w:r w:rsidRPr="0005596E">
        <w:rPr>
          <w:rFonts w:eastAsia="Calibri"/>
          <w:color w:val="000000"/>
          <w:kern w:val="2"/>
          <w:vertAlign w:val="superscript"/>
          <w14:ligatures w14:val="standardContextual"/>
        </w:rPr>
        <w:t>2</w:t>
      </w:r>
      <w:r w:rsidRPr="0005596E">
        <w:rPr>
          <w:rFonts w:eastAsia="Calibri"/>
          <w:color w:val="000000"/>
          <w:kern w:val="2"/>
          <w14:ligatures w14:val="standardContextual"/>
        </w:rPr>
        <w:t xml:space="preserve"> laukumu Pretendents aprīko ar ēdiena izsniegšanai un uzglabāšanai paredzēto aprīkojumu. Pretendents pilnībā iekārto ēdiena sadales zonas, nodrošinot elektrības, ūdens un citus pieslēgumus, ja tas ir nepieciešams. </w:t>
      </w:r>
    </w:p>
    <w:p w14:paraId="67DBFA60"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Pasūtītājs savukārt:</w:t>
      </w:r>
    </w:p>
    <w:p w14:paraId="7D211C1F"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a) aprīko ēdināšanas vietu ar soliem vai krēsliem un galdiem;</w:t>
      </w:r>
    </w:p>
    <w:p w14:paraId="7A40DD00"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 xml:space="preserve">b) nodrošina atkritumu urnas atsevišķi pārtikas atliekām un sadzīves atkritumiem (salvetes u.c.); </w:t>
      </w:r>
    </w:p>
    <w:p w14:paraId="256B4010"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 xml:space="preserve">c) nodrošina kastes lietotajiem depozīta traukiem; </w:t>
      </w:r>
    </w:p>
    <w:p w14:paraId="1E85716B"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d) nodrošina roku mazgāšanas/ dezinfekcijas iespējas dalībniekiem un ēdināšanas pakalpojuma sniedzējiem netālu no ēdināšanas vietas, kā arī galdu tīrīšanu un dezinficēšanu.</w:t>
      </w:r>
    </w:p>
    <w:p w14:paraId="005CD3EA" w14:textId="77777777" w:rsidR="0005596E" w:rsidRPr="0005596E" w:rsidRDefault="0005596E" w:rsidP="0005596E">
      <w:pPr>
        <w:spacing w:after="120" w:line="256" w:lineRule="auto"/>
        <w:jc w:val="both"/>
        <w:rPr>
          <w:rFonts w:eastAsia="Calibri"/>
          <w:color w:val="000000"/>
          <w:kern w:val="2"/>
          <w14:ligatures w14:val="standardContextual"/>
        </w:rPr>
      </w:pPr>
    </w:p>
    <w:p w14:paraId="043A7AC6" w14:textId="77777777" w:rsidR="0005596E" w:rsidRPr="0005596E" w:rsidRDefault="0005596E" w:rsidP="0005596E">
      <w:pPr>
        <w:spacing w:after="120" w:line="256" w:lineRule="auto"/>
        <w:jc w:val="both"/>
        <w:rPr>
          <w:rFonts w:eastAsia="Calibri"/>
          <w:color w:val="000000"/>
          <w:kern w:val="2"/>
          <w14:ligatures w14:val="standardContextual"/>
        </w:rPr>
      </w:pPr>
      <w:r w:rsidRPr="0005596E">
        <w:rPr>
          <w:rFonts w:eastAsia="Calibri"/>
          <w:color w:val="000000"/>
          <w:kern w:val="2"/>
          <w14:ligatures w14:val="standardContextual"/>
        </w:rPr>
        <w:t>Lūdzam detalizēti aprakstīt, kas vēl papildus minētajam jānodrošina Pretendentam un ko nodrošina organizators, piemēram, kurš nodrošina plūsmu sadalošās barjeras un galdus, kas nepieciešami ēdiena izdalei.</w:t>
      </w:r>
    </w:p>
    <w:p w14:paraId="5284AB56" w14:textId="77777777" w:rsidR="0005596E" w:rsidRPr="0005596E" w:rsidRDefault="0005596E" w:rsidP="0005596E">
      <w:pPr>
        <w:jc w:val="both"/>
        <w:rPr>
          <w:rFonts w:ascii="Calibri" w:hAnsi="Calibri" w:cs="Calibri"/>
          <w:color w:val="000000"/>
          <w:sz w:val="20"/>
          <w:szCs w:val="20"/>
          <w:lang w:eastAsia="lv-LV"/>
        </w:rPr>
      </w:pPr>
    </w:p>
    <w:p w14:paraId="46ADED4D" w14:textId="77777777" w:rsidR="0005596E" w:rsidRPr="0005596E" w:rsidRDefault="0005596E" w:rsidP="0005596E">
      <w:pPr>
        <w:rPr>
          <w:rFonts w:eastAsia="Aptos"/>
          <w:b/>
          <w:bCs/>
          <w:u w:val="single"/>
          <w:lang w:eastAsia="lv-LV"/>
        </w:rPr>
      </w:pPr>
      <w:r w:rsidRPr="0005596E">
        <w:rPr>
          <w:rFonts w:eastAsia="Aptos"/>
          <w:b/>
          <w:bCs/>
          <w:u w:val="single"/>
          <w:lang w:eastAsia="lv-LV"/>
        </w:rPr>
        <w:t>Atbilde uz 2.jautajumu:</w:t>
      </w:r>
    </w:p>
    <w:p w14:paraId="19757B9E" w14:textId="77777777" w:rsidR="0005596E" w:rsidRPr="0005596E" w:rsidRDefault="0005596E" w:rsidP="0005596E">
      <w:pPr>
        <w:jc w:val="both"/>
        <w:rPr>
          <w:color w:val="000000"/>
          <w:lang w:eastAsia="lv-LV"/>
        </w:rPr>
      </w:pPr>
      <w:r w:rsidRPr="0005596E">
        <w:rPr>
          <w:color w:val="000000"/>
          <w:u w:val="single"/>
          <w:lang w:eastAsia="lv-LV"/>
        </w:rPr>
        <w:t>Pasūtītājs</w:t>
      </w:r>
      <w:r w:rsidRPr="0005596E">
        <w:rPr>
          <w:color w:val="000000"/>
          <w:lang w:eastAsia="lv-LV"/>
        </w:rPr>
        <w:t> nodrošina un aprīko ēdināšanas izdales zonu, ar nepieciešamajiem galdiem, katrai izdales zonai paredzot vienu galdu (galda aptuvenais izmērs 2.20 x 0.80 m); apmeklētāju plūsmas loģistikas plānošanu, sētām/žogiem zonu norobežošanai un plūsmu regulēšanai.</w:t>
      </w:r>
    </w:p>
    <w:p w14:paraId="4B140B4E" w14:textId="77777777" w:rsidR="0005596E" w:rsidRPr="0005596E" w:rsidRDefault="0005596E" w:rsidP="0005596E">
      <w:pPr>
        <w:jc w:val="both"/>
        <w:rPr>
          <w:color w:val="000000"/>
          <w:lang w:eastAsia="lv-LV"/>
        </w:rPr>
      </w:pPr>
    </w:p>
    <w:p w14:paraId="5B027DEF" w14:textId="77777777" w:rsidR="0005596E" w:rsidRPr="0005596E" w:rsidRDefault="0005596E" w:rsidP="0005596E">
      <w:pPr>
        <w:jc w:val="both"/>
        <w:rPr>
          <w:color w:val="000000"/>
          <w:lang w:eastAsia="lv-LV"/>
        </w:rPr>
      </w:pPr>
      <w:r w:rsidRPr="0005596E">
        <w:rPr>
          <w:color w:val="000000"/>
          <w:u w:val="single"/>
          <w:lang w:eastAsia="lv-LV"/>
        </w:rPr>
        <w:t>Pretendents</w:t>
      </w:r>
      <w:r w:rsidRPr="0005596E">
        <w:rPr>
          <w:color w:val="000000"/>
          <w:lang w:eastAsia="lv-LV"/>
        </w:rPr>
        <w:t> pats iekārto ēdināšanas izdales vietas atbilstoši savām vajadzībām un normatīvajos aktos noteiktajām prasībām, ēdienu pārvadājot un izdalot no termokastēm vai termosistēmām karstajam un aukstajam ēdienam.</w:t>
      </w:r>
    </w:p>
    <w:p w14:paraId="362A1CD0" w14:textId="1140B6D8" w:rsidR="00030103" w:rsidRPr="00E86428" w:rsidRDefault="00030103" w:rsidP="00807971">
      <w:pPr>
        <w:jc w:val="both"/>
        <w:rPr>
          <w:rFonts w:eastAsia="Calibri"/>
          <w:lang w:eastAsia="ar-SA"/>
        </w:rPr>
      </w:pPr>
    </w:p>
    <w:sectPr w:rsidR="00030103" w:rsidRPr="00E86428" w:rsidSect="003128F8">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D876" w14:textId="77777777" w:rsidR="00807971" w:rsidRDefault="00807971" w:rsidP="00807971">
      <w:r>
        <w:separator/>
      </w:r>
    </w:p>
  </w:endnote>
  <w:endnote w:type="continuationSeparator" w:id="0">
    <w:p w14:paraId="3D2CB4BD" w14:textId="77777777" w:rsidR="00807971" w:rsidRDefault="00807971" w:rsidP="008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0653" w14:textId="77777777" w:rsidR="00807971" w:rsidRDefault="00807971" w:rsidP="00807971">
      <w:r>
        <w:separator/>
      </w:r>
    </w:p>
  </w:footnote>
  <w:footnote w:type="continuationSeparator" w:id="0">
    <w:p w14:paraId="1E5A410E" w14:textId="77777777" w:rsidR="00807971" w:rsidRDefault="00807971" w:rsidP="0080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6E32"/>
    <w:multiLevelType w:val="hybridMultilevel"/>
    <w:tmpl w:val="EB9C5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4C1732"/>
    <w:multiLevelType w:val="hybridMultilevel"/>
    <w:tmpl w:val="AAF61A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3626235">
    <w:abstractNumId w:val="0"/>
  </w:num>
  <w:num w:numId="2" w16cid:durableId="288128410">
    <w:abstractNumId w:val="1"/>
  </w:num>
  <w:num w:numId="3" w16cid:durableId="130203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30103"/>
    <w:rsid w:val="0005596E"/>
    <w:rsid w:val="001C5184"/>
    <w:rsid w:val="003128F8"/>
    <w:rsid w:val="00315D6B"/>
    <w:rsid w:val="00356424"/>
    <w:rsid w:val="00432460"/>
    <w:rsid w:val="004D0256"/>
    <w:rsid w:val="0057626C"/>
    <w:rsid w:val="0065550A"/>
    <w:rsid w:val="00807971"/>
    <w:rsid w:val="00957AEC"/>
    <w:rsid w:val="00A83936"/>
    <w:rsid w:val="00B4406C"/>
    <w:rsid w:val="00B54AE9"/>
    <w:rsid w:val="00B6578E"/>
    <w:rsid w:val="00C54CA1"/>
    <w:rsid w:val="00E86428"/>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 w:type="paragraph" w:styleId="Vresteksts">
    <w:name w:val="footnote text"/>
    <w:basedOn w:val="Parasts"/>
    <w:link w:val="VrestekstsRakstz"/>
    <w:semiHidden/>
    <w:unhideWhenUsed/>
    <w:rsid w:val="00807971"/>
    <w:rPr>
      <w:sz w:val="20"/>
      <w:szCs w:val="20"/>
    </w:rPr>
  </w:style>
  <w:style w:type="character" w:customStyle="1" w:styleId="VrestekstsRakstz">
    <w:name w:val="Vēres teksts Rakstz."/>
    <w:basedOn w:val="Noklusjumarindkopasfonts"/>
    <w:link w:val="Vresteksts"/>
    <w:semiHidden/>
    <w:rsid w:val="00807971"/>
    <w:rPr>
      <w:rFonts w:ascii="Times New Roman" w:eastAsia="Times New Roman" w:hAnsi="Times New Roman" w:cs="Times New Roman"/>
      <w:sz w:val="20"/>
      <w:szCs w:val="20"/>
    </w:rPr>
  </w:style>
  <w:style w:type="character" w:styleId="Vresatsauce">
    <w:name w:val="footnote reference"/>
    <w:basedOn w:val="Noklusjumarindkopasfonts"/>
    <w:semiHidden/>
    <w:unhideWhenUsed/>
    <w:rsid w:val="00807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2281</Words>
  <Characters>1301</Characters>
  <Application>Microsoft Office Word</Application>
  <DocSecurity>0</DocSecurity>
  <Lines>10</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9</cp:revision>
  <dcterms:created xsi:type="dcterms:W3CDTF">2024-05-28T14:40:00Z</dcterms:created>
  <dcterms:modified xsi:type="dcterms:W3CDTF">2025-06-06T15:06:00Z</dcterms:modified>
</cp:coreProperties>
</file>