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0B5740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17931AD2" w14:textId="77777777" w:rsidR="00C463C6" w:rsidRPr="000B5740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D996ABD" w14:textId="77777777" w:rsidR="00C463C6" w:rsidRPr="000B5740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F2D854E" w14:textId="577E20AA" w:rsidR="00117D5A" w:rsidRPr="000B5740" w:rsidRDefault="008030D6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21.07.</w:t>
      </w:r>
      <w:r w:rsidR="00B6345B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345B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7F683EB" w14:textId="77777777" w:rsidR="00C463C6" w:rsidRPr="000B5740" w:rsidRDefault="00C463C6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B26608" w14:textId="77777777" w:rsidR="005556E7" w:rsidRPr="000B5740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1F55E65D" w:rsidR="005556E7" w:rsidRPr="000B5740" w:rsidRDefault="00B6345B" w:rsidP="00B63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 izglītības, kultūras un sporta departamenta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Departaments vai Pasūtītājs) iepirkum</w:t>
      </w:r>
      <w:r w:rsidR="005556E7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“</w:t>
      </w:r>
      <w:proofErr w:type="spellStart"/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Peldētapmācības</w:t>
      </w:r>
      <w:proofErr w:type="spellEnd"/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pakalpojumi Rīgas </w:t>
      </w:r>
      <w:proofErr w:type="spellStart"/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valstspilsētas</w:t>
      </w:r>
      <w:proofErr w:type="spellEnd"/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pašvaldības Izglītības, kultūras un sporta departamenta padotībā esošo vispārējās izglītības iestāžu 2. klašu izglītojamo vajadzībām Daugavas labajā krastā” (identifikācijas Nr. RVPIKSD 2025/20)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Iepirkums)</w:t>
      </w:r>
      <w:r w:rsidR="005556E7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ir noslēdzies</w:t>
      </w:r>
      <w:r w:rsidR="00B37E10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EE649FE" w14:textId="77777777" w:rsidR="00B60870" w:rsidRPr="000B5740" w:rsidRDefault="00B60870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67AC0FC8" w:rsidR="00AB4ECE" w:rsidRPr="000B5740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Iepirkumā saņemtie piedāvājumi:</w:t>
      </w:r>
    </w:p>
    <w:tbl>
      <w:tblPr>
        <w:tblStyle w:val="Reatabula5"/>
        <w:tblW w:w="4977" w:type="pct"/>
        <w:tblLayout w:type="fixed"/>
        <w:tblLook w:val="04A0" w:firstRow="1" w:lastRow="0" w:firstColumn="1" w:lastColumn="0" w:noHBand="0" w:noVBand="1"/>
      </w:tblPr>
      <w:tblGrid>
        <w:gridCol w:w="1979"/>
        <w:gridCol w:w="2694"/>
        <w:gridCol w:w="1998"/>
        <w:gridCol w:w="2630"/>
      </w:tblGrid>
      <w:tr w:rsidR="008030D6" w:rsidRPr="008030D6" w14:paraId="11771443" w14:textId="77777777" w:rsidTr="008030D6">
        <w:tc>
          <w:tcPr>
            <w:tcW w:w="1064" w:type="pct"/>
            <w:shd w:val="pct10" w:color="auto" w:fill="auto"/>
          </w:tcPr>
          <w:p w14:paraId="0467C61B" w14:textId="77777777" w:rsidR="008030D6" w:rsidRPr="008030D6" w:rsidRDefault="008030D6" w:rsidP="008030D6">
            <w:pPr>
              <w:rPr>
                <w:b/>
                <w:bCs/>
                <w:sz w:val="24"/>
                <w:szCs w:val="24"/>
              </w:rPr>
            </w:pPr>
            <w:r w:rsidRPr="008030D6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48" w:type="pct"/>
            <w:shd w:val="pct10" w:color="auto" w:fill="auto"/>
          </w:tcPr>
          <w:p w14:paraId="1C27BE5F" w14:textId="77777777" w:rsidR="008030D6" w:rsidRPr="008030D6" w:rsidRDefault="008030D6" w:rsidP="008030D6">
            <w:pPr>
              <w:rPr>
                <w:b/>
                <w:bCs/>
                <w:sz w:val="24"/>
                <w:szCs w:val="24"/>
              </w:rPr>
            </w:pPr>
            <w:r w:rsidRPr="008030D6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074" w:type="pct"/>
            <w:shd w:val="pct10" w:color="auto" w:fill="auto"/>
          </w:tcPr>
          <w:p w14:paraId="3BBEFDB5" w14:textId="77777777" w:rsidR="008030D6" w:rsidRPr="008030D6" w:rsidRDefault="008030D6" w:rsidP="008030D6">
            <w:pPr>
              <w:rPr>
                <w:b/>
                <w:bCs/>
                <w:sz w:val="24"/>
                <w:szCs w:val="24"/>
              </w:rPr>
            </w:pPr>
            <w:r w:rsidRPr="008030D6">
              <w:rPr>
                <w:b/>
                <w:sz w:val="24"/>
                <w:szCs w:val="24"/>
              </w:rPr>
              <w:t>Kopējā līgumcena EUR bez PVN</w:t>
            </w:r>
          </w:p>
        </w:tc>
        <w:tc>
          <w:tcPr>
            <w:tcW w:w="1414" w:type="pct"/>
            <w:shd w:val="pct10" w:color="auto" w:fill="auto"/>
          </w:tcPr>
          <w:p w14:paraId="2917CF43" w14:textId="77777777" w:rsidR="008030D6" w:rsidRPr="008030D6" w:rsidRDefault="008030D6" w:rsidP="008030D6">
            <w:pPr>
              <w:rPr>
                <w:b/>
                <w:bCs/>
                <w:sz w:val="24"/>
                <w:szCs w:val="24"/>
              </w:rPr>
            </w:pPr>
            <w:r w:rsidRPr="008030D6">
              <w:rPr>
                <w:b/>
                <w:sz w:val="24"/>
                <w:szCs w:val="24"/>
              </w:rPr>
              <w:t>Piedāvātā cena EUR bez PVN par nodarbību</w:t>
            </w:r>
          </w:p>
        </w:tc>
      </w:tr>
      <w:tr w:rsidR="008030D6" w:rsidRPr="008030D6" w14:paraId="0E78EE2E" w14:textId="77777777" w:rsidTr="008030D6">
        <w:tc>
          <w:tcPr>
            <w:tcW w:w="1064" w:type="pct"/>
          </w:tcPr>
          <w:p w14:paraId="2050F66E" w14:textId="77777777" w:rsidR="008030D6" w:rsidRPr="008030D6" w:rsidRDefault="008030D6" w:rsidP="008030D6">
            <w:pPr>
              <w:rPr>
                <w:bCs/>
                <w:sz w:val="24"/>
                <w:szCs w:val="24"/>
              </w:rPr>
            </w:pPr>
            <w:r w:rsidRPr="008030D6">
              <w:rPr>
                <w:sz w:val="24"/>
                <w:szCs w:val="24"/>
              </w:rPr>
              <w:t xml:space="preserve">SIA "Olimpiskais sporta centrs" </w:t>
            </w:r>
          </w:p>
        </w:tc>
        <w:tc>
          <w:tcPr>
            <w:tcW w:w="1448" w:type="pct"/>
          </w:tcPr>
          <w:p w14:paraId="5D0A9441" w14:textId="77777777" w:rsidR="008030D6" w:rsidRPr="008030D6" w:rsidRDefault="008030D6" w:rsidP="008030D6">
            <w:pPr>
              <w:rPr>
                <w:bCs/>
                <w:sz w:val="24"/>
                <w:szCs w:val="24"/>
              </w:rPr>
            </w:pPr>
            <w:r w:rsidRPr="008030D6">
              <w:rPr>
                <w:sz w:val="24"/>
                <w:szCs w:val="24"/>
              </w:rPr>
              <w:t>26.06.2025 plkst. 14:49</w:t>
            </w:r>
          </w:p>
        </w:tc>
        <w:tc>
          <w:tcPr>
            <w:tcW w:w="1074" w:type="pct"/>
          </w:tcPr>
          <w:p w14:paraId="79E66796" w14:textId="0F6AF659" w:rsidR="008030D6" w:rsidRPr="008030D6" w:rsidRDefault="008030D6" w:rsidP="008030D6">
            <w:pPr>
              <w:rPr>
                <w:sz w:val="24"/>
                <w:szCs w:val="24"/>
              </w:rPr>
            </w:pPr>
            <w:r w:rsidRPr="008030D6">
              <w:rPr>
                <w:sz w:val="24"/>
                <w:szCs w:val="24"/>
              </w:rPr>
              <w:t>EUR 179350.5</w:t>
            </w:r>
            <w:r w:rsidRPr="000B5740">
              <w:rPr>
                <w:sz w:val="24"/>
                <w:szCs w:val="24"/>
              </w:rPr>
              <w:t>0</w:t>
            </w:r>
          </w:p>
          <w:p w14:paraId="1720EDDD" w14:textId="77777777" w:rsidR="008030D6" w:rsidRPr="008030D6" w:rsidRDefault="008030D6" w:rsidP="008030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4" w:type="pct"/>
          </w:tcPr>
          <w:p w14:paraId="6552013D" w14:textId="4A6E9585" w:rsidR="008030D6" w:rsidRPr="008030D6" w:rsidRDefault="008030D6" w:rsidP="008030D6">
            <w:pPr>
              <w:rPr>
                <w:sz w:val="24"/>
                <w:szCs w:val="24"/>
              </w:rPr>
            </w:pPr>
            <w:r w:rsidRPr="008030D6">
              <w:rPr>
                <w:sz w:val="24"/>
                <w:szCs w:val="24"/>
              </w:rPr>
              <w:t>EUR 66.5</w:t>
            </w:r>
            <w:r w:rsidRPr="000B5740">
              <w:rPr>
                <w:sz w:val="24"/>
                <w:szCs w:val="24"/>
              </w:rPr>
              <w:t>0</w:t>
            </w:r>
          </w:p>
          <w:p w14:paraId="160665B8" w14:textId="77777777" w:rsidR="008030D6" w:rsidRPr="008030D6" w:rsidRDefault="008030D6" w:rsidP="008030D6">
            <w:pPr>
              <w:rPr>
                <w:bCs/>
                <w:sz w:val="24"/>
                <w:szCs w:val="24"/>
              </w:rPr>
            </w:pPr>
          </w:p>
        </w:tc>
      </w:tr>
    </w:tbl>
    <w:p w14:paraId="26077837" w14:textId="77777777" w:rsidR="00B6345B" w:rsidRPr="000B5740" w:rsidRDefault="00B6345B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2CA4A7" w14:textId="08E7C3E0" w:rsidR="004445AE" w:rsidRPr="000B5740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sz w:val="26"/>
          <w:szCs w:val="26"/>
        </w:rPr>
        <w:t>Departamenta Iepirkuma komisija (turpmāk – Komisija) izskatīja SIA “</w:t>
      </w:r>
      <w:r w:rsidR="00283187" w:rsidRPr="000B5740">
        <w:rPr>
          <w:rFonts w:ascii="Times New Roman" w:eastAsia="Times New Roman" w:hAnsi="Times New Roman" w:cs="Times New Roman"/>
          <w:sz w:val="26"/>
          <w:szCs w:val="26"/>
        </w:rPr>
        <w:t>Olimpiskais sporta centrs</w:t>
      </w:r>
      <w:r w:rsidRPr="000B574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(turpmāk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-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Pretendents)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>iesniegto piedāvājumu, izvērtēja atbilstību Iepirkuma nolikumā (turpmāk – Nolikums) izvirzītajām kvalifikācijas prasībām, veica finanšu piedāvājuma pārbaudi un izslēgšanas noteikumu pārbaudi saskaņā ar Iepirkuma dokumentācijā un normatīvajos aktos noteikto kārtību.</w:t>
      </w:r>
    </w:p>
    <w:p w14:paraId="4A0D242E" w14:textId="679F5FCF" w:rsidR="00252BAF" w:rsidRPr="000B5740" w:rsidRDefault="000B5740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03982035"/>
      <w:r w:rsidRPr="000B5740">
        <w:rPr>
          <w:rFonts w:ascii="Times New Roman" w:eastAsia="Times New Roman" w:hAnsi="Times New Roman" w:cs="Times New Roman"/>
          <w:sz w:val="26"/>
          <w:szCs w:val="26"/>
        </w:rPr>
        <w:t>Komisija, veicot Pretendenta finanšu piedāvājuma pārbaudi k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nstatēja, ka </w:t>
      </w:r>
      <w:r w:rsidR="009704A6" w:rsidRPr="000B5740">
        <w:rPr>
          <w:rFonts w:ascii="Times New Roman" w:eastAsia="Times New Roman" w:hAnsi="Times New Roman" w:cs="Times New Roman"/>
          <w:sz w:val="26"/>
          <w:szCs w:val="26"/>
        </w:rPr>
        <w:t xml:space="preserve">Pasūtītāja </w:t>
      </w:r>
      <w:r w:rsidR="00252BAF" w:rsidRPr="000B5740">
        <w:rPr>
          <w:rFonts w:ascii="Times New Roman" w:eastAsia="Times New Roman" w:hAnsi="Times New Roman" w:cs="Times New Roman"/>
          <w:sz w:val="26"/>
          <w:szCs w:val="26"/>
        </w:rPr>
        <w:t>Iepirkum</w:t>
      </w:r>
      <w:r w:rsidR="009704A6" w:rsidRPr="000B5740">
        <w:rPr>
          <w:rFonts w:ascii="Times New Roman" w:eastAsia="Times New Roman" w:hAnsi="Times New Roman" w:cs="Times New Roman"/>
          <w:sz w:val="26"/>
          <w:szCs w:val="26"/>
        </w:rPr>
        <w:t>ā</w:t>
      </w:r>
      <w:r w:rsidR="00252BAF" w:rsidRPr="000B5740">
        <w:rPr>
          <w:rFonts w:ascii="Times New Roman" w:eastAsia="Times New Roman" w:hAnsi="Times New Roman" w:cs="Times New Roman"/>
          <w:sz w:val="26"/>
          <w:szCs w:val="26"/>
        </w:rPr>
        <w:t xml:space="preserve"> paredzamā līgumcena, kas noteikta, ņemot vērā jebkuru izvēles iespēju un jebkurus iepirkuma līguma papildinājumus,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Nolikumā norādīta </w:t>
      </w:r>
      <w:r w:rsidR="00252BAF" w:rsidRPr="000B5740">
        <w:rPr>
          <w:rFonts w:ascii="Times New Roman" w:eastAsia="Times New Roman" w:hAnsi="Times New Roman" w:cs="Times New Roman"/>
          <w:sz w:val="26"/>
          <w:szCs w:val="26"/>
        </w:rPr>
        <w:t>līdz 153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52BAF" w:rsidRPr="000B5740">
        <w:rPr>
          <w:rFonts w:ascii="Times New Roman" w:eastAsia="Times New Roman" w:hAnsi="Times New Roman" w:cs="Times New Roman"/>
          <w:sz w:val="26"/>
          <w:szCs w:val="26"/>
        </w:rPr>
        <w:t>729,00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52BAF" w:rsidRPr="000B5740">
        <w:rPr>
          <w:rFonts w:ascii="Times New Roman" w:eastAsia="Times New Roman" w:hAnsi="Times New Roman" w:cs="Times New Roman"/>
          <w:sz w:val="26"/>
          <w:szCs w:val="26"/>
        </w:rPr>
        <w:t>EUR bez PVN, bet Pretendenta iesniegtajā Nolikuma 5. pielikumā “Finanšu piedāvājums” piedāvājuma kopējā cena EUR bez PVN norādīta 179 350,50 EUR, kas pārsniedz Pasūtītāja plānoto līgumcenu.</w:t>
      </w:r>
    </w:p>
    <w:p w14:paraId="31EEC12F" w14:textId="58353B10" w:rsidR="00252BAF" w:rsidRPr="000B5740" w:rsidRDefault="00252BAF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sz w:val="26"/>
          <w:szCs w:val="26"/>
        </w:rPr>
        <w:t>Komisija secināja, ka iepirkuma procedūras dokumentos līgumcena nav noteikta kā piedāvājuma atbilstības prasība, kā arī Pretendenta piedāvātā līgumcena 179 350,50 EUR nepārsniedz 150% no iepirkuma procedūras dokumentos norādītās paredzamās līgumcenas 153 729,00 EUR.</w:t>
      </w:r>
    </w:p>
    <w:bookmarkEnd w:id="0"/>
    <w:p w14:paraId="2B6584E5" w14:textId="3E00E23E" w:rsidR="004445AE" w:rsidRPr="000B5740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sz w:val="26"/>
          <w:szCs w:val="26"/>
        </w:rPr>
        <w:t>Komisija konstatēja, ka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>Pretendent</w:t>
      </w:r>
      <w:r w:rsidR="009704A6" w:rsidRPr="000B5740">
        <w:rPr>
          <w:rFonts w:ascii="Times New Roman" w:eastAsia="Times New Roman" w:hAnsi="Times New Roman" w:cs="Times New Roman"/>
          <w:sz w:val="26"/>
          <w:szCs w:val="26"/>
        </w:rPr>
        <w:t>s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un 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tā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iesniegtais piedāvājums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atbilst Nolikumā noteiktajām prasībām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un uz minēto Pretendentu nav attiecināmi</w:t>
      </w:r>
      <w:r w:rsidR="00E4575E" w:rsidRPr="000B5740">
        <w:t xml:space="preserve"> 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</w:rPr>
        <w:t>Publisko iepirkumu likuma 42. panta otrās daļas 2. un 4. punkta un Starptautisko un Latvijas Republikas nacionālo sankciju likuma 11.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</w:rPr>
        <w:t xml:space="preserve"> panta izslēgšanas noteikumi.</w:t>
      </w:r>
    </w:p>
    <w:p w14:paraId="15CDB149" w14:textId="652F90E1" w:rsidR="00EF2403" w:rsidRPr="000B5740" w:rsidRDefault="00AB4ECE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bookmarkStart w:id="1" w:name="_Hlk173945261"/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17.07.2025. </w:t>
      </w: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sēdē (protokols Nr. </w:t>
      </w:r>
      <w:r w:rsidR="009F598D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) pieņēma lēmumu piešķirt</w:t>
      </w:r>
      <w:r w:rsidR="00A5062F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līguma slēgšanas tiesības</w:t>
      </w:r>
      <w:r w:rsidR="004445AE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SIA </w:t>
      </w:r>
      <w:r w:rsidR="0077669F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9F598D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Olimpiskais sporta centrs</w:t>
      </w:r>
      <w:r w:rsidR="0077669F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="00804039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līgumcenu </w:t>
      </w:r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179 350,50</w:t>
      </w:r>
      <w:r w:rsidR="00B6345B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6345B" w:rsidRPr="000B574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euro</w:t>
      </w:r>
      <w:proofErr w:type="spellEnd"/>
      <w:r w:rsidR="00B6345B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End w:id="1"/>
      <w:r w:rsidR="00804039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bez PVN.</w:t>
      </w:r>
    </w:p>
    <w:p w14:paraId="4B9AAA4B" w14:textId="77777777" w:rsidR="00B6345B" w:rsidRPr="000B5740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93D0660" w14:textId="77777777" w:rsidR="00B6345B" w:rsidRPr="000B5740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B6345B" w:rsidRPr="000B5740" w14:paraId="5A8C878C" w14:textId="77777777" w:rsidTr="00F819C4">
        <w:trPr>
          <w:cantSplit/>
          <w:trHeight w:val="303"/>
        </w:trPr>
        <w:tc>
          <w:tcPr>
            <w:tcW w:w="5652" w:type="dxa"/>
          </w:tcPr>
          <w:p w14:paraId="2DBB9A36" w14:textId="77777777" w:rsidR="00B6345B" w:rsidRPr="000B5740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57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1117D67F" w14:textId="77777777" w:rsidR="00B6345B" w:rsidRPr="000B5740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5740">
              <w:rPr>
                <w:rFonts w:ascii="Times New Roman" w:eastAsia="Times New Roman" w:hAnsi="Times New Roman" w:cs="Times New Roman"/>
                <w:sz w:val="26"/>
                <w:szCs w:val="26"/>
              </w:rPr>
              <w:t>Ilze Krūmiņa</w:t>
            </w:r>
          </w:p>
        </w:tc>
      </w:tr>
    </w:tbl>
    <w:p w14:paraId="2BCD6C4B" w14:textId="77777777" w:rsidR="00B6345B" w:rsidRPr="0040534E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6345B" w:rsidRPr="0040534E" w:rsidSect="00B63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A0B4A"/>
    <w:rsid w:val="000B5740"/>
    <w:rsid w:val="00117D5A"/>
    <w:rsid w:val="00125838"/>
    <w:rsid w:val="001C7622"/>
    <w:rsid w:val="00252BAF"/>
    <w:rsid w:val="00260E6F"/>
    <w:rsid w:val="00283187"/>
    <w:rsid w:val="002F1634"/>
    <w:rsid w:val="00386E75"/>
    <w:rsid w:val="0040534E"/>
    <w:rsid w:val="0043122B"/>
    <w:rsid w:val="00442D97"/>
    <w:rsid w:val="004445AE"/>
    <w:rsid w:val="00552A52"/>
    <w:rsid w:val="005556E7"/>
    <w:rsid w:val="005C6D1C"/>
    <w:rsid w:val="0064604B"/>
    <w:rsid w:val="006C699F"/>
    <w:rsid w:val="0077669F"/>
    <w:rsid w:val="0078360F"/>
    <w:rsid w:val="008030D6"/>
    <w:rsid w:val="00804039"/>
    <w:rsid w:val="008626AD"/>
    <w:rsid w:val="00872AA5"/>
    <w:rsid w:val="008867C4"/>
    <w:rsid w:val="00895A71"/>
    <w:rsid w:val="008A57A2"/>
    <w:rsid w:val="008F4D38"/>
    <w:rsid w:val="00901EC9"/>
    <w:rsid w:val="00935BDB"/>
    <w:rsid w:val="009704A6"/>
    <w:rsid w:val="00970E46"/>
    <w:rsid w:val="009D6B4B"/>
    <w:rsid w:val="009F598D"/>
    <w:rsid w:val="00A04E1D"/>
    <w:rsid w:val="00A5062F"/>
    <w:rsid w:val="00A74E1C"/>
    <w:rsid w:val="00AA5689"/>
    <w:rsid w:val="00AB4ECE"/>
    <w:rsid w:val="00B37E10"/>
    <w:rsid w:val="00B60870"/>
    <w:rsid w:val="00B6345B"/>
    <w:rsid w:val="00B87AE9"/>
    <w:rsid w:val="00BF21E1"/>
    <w:rsid w:val="00BF3F3E"/>
    <w:rsid w:val="00C463C6"/>
    <w:rsid w:val="00C61F3E"/>
    <w:rsid w:val="00C776DB"/>
    <w:rsid w:val="00C80E2E"/>
    <w:rsid w:val="00C9071E"/>
    <w:rsid w:val="00CA3EE6"/>
    <w:rsid w:val="00CF4D34"/>
    <w:rsid w:val="00D70070"/>
    <w:rsid w:val="00D83A0D"/>
    <w:rsid w:val="00E32483"/>
    <w:rsid w:val="00E35F43"/>
    <w:rsid w:val="00E4575E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28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rsid w:val="00B6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rsid w:val="0080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13D9-AECB-4D46-A68C-C22858BC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2</cp:revision>
  <cp:lastPrinted>2025-07-21T06:16:00Z</cp:lastPrinted>
  <dcterms:created xsi:type="dcterms:W3CDTF">2025-07-21T11:10:00Z</dcterms:created>
  <dcterms:modified xsi:type="dcterms:W3CDTF">2025-07-21T11:10:00Z</dcterms:modified>
</cp:coreProperties>
</file>