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511" w14:textId="66641007" w:rsidR="00A10BCE" w:rsidRPr="00A10BCE" w:rsidRDefault="00A10BCE" w:rsidP="00A10BCE">
      <w:p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BCE">
        <w:rPr>
          <w:rFonts w:ascii="Times New Roman" w:eastAsia="Calibri" w:hAnsi="Times New Roman" w:cs="Times New Roman"/>
          <w:sz w:val="24"/>
          <w:szCs w:val="24"/>
        </w:rPr>
        <w:t xml:space="preserve">Atbilde uz ieinteresētā pakalpojuma sniedzēja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A10BCE">
        <w:rPr>
          <w:rFonts w:ascii="Times New Roman" w:eastAsia="Calibri" w:hAnsi="Times New Roman" w:cs="Times New Roman"/>
          <w:sz w:val="24"/>
          <w:szCs w:val="24"/>
        </w:rPr>
        <w:t>.08.2025. saņemto jautājumu Rīgas valstspilsētas pašvaldības Izglītības, kultūras un sporta departamenta (turpmāk – Departaments vai Pasūtītājs) iepirkumā “Ziemassvētku gaismas mākslinieciskā dizaina dekoru izgatavošana un esošo gaismas dekorāciju mākslinieciskā renovācija pilsētvides Ziemassvētku noformējuma vajadzībām”, identifikācijas Nr. RVPIKSD 2025/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A10BCE">
        <w:rPr>
          <w:rFonts w:ascii="Times New Roman" w:eastAsia="Calibri" w:hAnsi="Times New Roman" w:cs="Times New Roman"/>
          <w:sz w:val="24"/>
          <w:szCs w:val="24"/>
        </w:rPr>
        <w:t xml:space="preserve"> (turpmāk – Iepirkums). </w:t>
      </w:r>
    </w:p>
    <w:p w14:paraId="67DA0CF0" w14:textId="77777777" w:rsidR="00A10BCE" w:rsidRPr="00A10BCE" w:rsidRDefault="00A10BCE" w:rsidP="00A10BCE">
      <w:pPr>
        <w:spacing w:line="256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14:paraId="332F4322" w14:textId="68F369E9" w:rsidR="00A10BCE" w:rsidRPr="00A10BCE" w:rsidRDefault="00A10BCE" w:rsidP="00A10BCE">
      <w:pPr>
        <w:spacing w:line="256" w:lineRule="auto"/>
        <w:ind w:left="113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0BCE">
        <w:rPr>
          <w:rFonts w:ascii="Times New Roman" w:eastAsia="Calibri" w:hAnsi="Times New Roman" w:cs="Times New Roman"/>
          <w:b/>
          <w:bCs/>
          <w:sz w:val="24"/>
          <w:szCs w:val="24"/>
        </w:rPr>
        <w:t>Jautājum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A10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7509ECD3" w14:textId="18CF632D" w:rsidR="00A10BCE" w:rsidRPr="00A10BCE" w:rsidRDefault="00A10BCE" w:rsidP="00A10BCE">
      <w:pPr>
        <w:pStyle w:val="Sarakstarindkopa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BCE">
        <w:rPr>
          <w:rFonts w:ascii="Times New Roman" w:eastAsia="Calibri" w:hAnsi="Times New Roman" w:cs="Times New Roman"/>
          <w:sz w:val="24"/>
          <w:szCs w:val="24"/>
        </w:rPr>
        <w:t>Attiecībā uz iepirkuma pirmo daļu – vai dekorācijām jābūt stingri mākslinieciskām bez Ziemassvētku elementiem, vai tomēr ir pieļaujams/vēlams iekļaut arī Ziemassvētku tematiku?</w:t>
      </w:r>
    </w:p>
    <w:p w14:paraId="274C8FBA" w14:textId="18D61B19" w:rsidR="00A10BCE" w:rsidRDefault="00A10BCE" w:rsidP="00A10BCE">
      <w:pPr>
        <w:pStyle w:val="Sarakstarindkopa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BCE">
        <w:rPr>
          <w:rFonts w:ascii="Times New Roman" w:eastAsia="Calibri" w:hAnsi="Times New Roman" w:cs="Times New Roman"/>
          <w:sz w:val="24"/>
          <w:szCs w:val="24"/>
        </w:rPr>
        <w:t>Vai ir atļauts dekorācijās apvienot dažādas apgaismojuma tehnoloģijas, piemēram, vienu tehnoloģiju (atbilstoši tehniskajai specifikācijai) izmantot simbolu kontūru veidošanai, bet citu, kā aizpildījuma vai dekoratīvo elementu, piemēram, Ziemassvētku gaismas?</w:t>
      </w:r>
    </w:p>
    <w:p w14:paraId="182E9B55" w14:textId="77777777" w:rsidR="00A10BCE" w:rsidRPr="00A10BCE" w:rsidRDefault="00A10BCE" w:rsidP="00A10BCE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C008D" w14:textId="54271115" w:rsidR="00A10BCE" w:rsidRPr="00A10BCE" w:rsidRDefault="00A10BCE" w:rsidP="00A10BCE">
      <w:pPr>
        <w:pStyle w:val="Sarakstarindkop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0BCE">
        <w:rPr>
          <w:rFonts w:ascii="Times New Roman" w:eastAsia="Calibri" w:hAnsi="Times New Roman" w:cs="Times New Roman"/>
          <w:b/>
          <w:bCs/>
          <w:sz w:val="24"/>
          <w:szCs w:val="24"/>
        </w:rPr>
        <w:t>Atbilde uz ieinteresētā pakalpojuma sniedzēja jautājum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iem</w:t>
      </w:r>
      <w:r w:rsidRPr="00A10B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4AE1044" w14:textId="2028DAB4" w:rsidR="00A10BCE" w:rsidRDefault="00A10BCE" w:rsidP="00090174">
      <w:pPr>
        <w:pStyle w:val="Sarakstarindkopa"/>
        <w:numPr>
          <w:ilvl w:val="0"/>
          <w:numId w:val="3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Tehniskās specifikācijas 2.1.</w:t>
      </w:r>
      <w:r w:rsidR="00090174">
        <w:rPr>
          <w:rFonts w:ascii="Times New Roman" w:eastAsia="Calibri" w:hAnsi="Times New Roman" w:cs="Times New Roman"/>
          <w:sz w:val="24"/>
          <w:szCs w:val="24"/>
        </w:rPr>
        <w:t xml:space="preserve"> un 2.2.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punktā ir </w:t>
      </w:r>
      <w:r w:rsidR="00090174">
        <w:rPr>
          <w:rFonts w:ascii="Times New Roman" w:eastAsia="Calibri" w:hAnsi="Times New Roman" w:cs="Times New Roman"/>
          <w:sz w:val="24"/>
          <w:szCs w:val="24"/>
        </w:rPr>
        <w:t xml:space="preserve">noteikta atsauce uz </w:t>
      </w:r>
      <w:r w:rsidR="00090174" w:rsidRPr="000901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Rīgas valstspilsētas grafiskās identitātes vadlīniju</w:t>
      </w:r>
      <w:r w:rsidR="00090174">
        <w:rPr>
          <w:rFonts w:ascii="Times New Roman" w:eastAsia="Calibri" w:hAnsi="Times New Roman" w:cs="Times New Roman"/>
          <w:sz w:val="24"/>
          <w:szCs w:val="24"/>
        </w:rPr>
        <w:t xml:space="preserve">, kurā ir </w:t>
      </w:r>
      <w:r>
        <w:rPr>
          <w:rFonts w:ascii="Times New Roman" w:eastAsia="Calibri" w:hAnsi="Times New Roman" w:cs="Times New Roman"/>
          <w:sz w:val="24"/>
          <w:szCs w:val="24"/>
        </w:rPr>
        <w:t>stingri noteikts, no kādiem elementiem veidojamas dekoru kompozīcijas</w:t>
      </w:r>
      <w:r w:rsidR="0009017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6749797" w14:textId="140F573B" w:rsidR="00090174" w:rsidRPr="00090174" w:rsidRDefault="00090174" w:rsidP="00090174">
      <w:pPr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090174">
        <w:rPr>
          <w:rFonts w:ascii="Times New Roman" w:eastAsia="Calibri" w:hAnsi="Times New Roman" w:cs="Times New Roman"/>
          <w:i/>
          <w:iCs/>
          <w:sz w:val="24"/>
          <w:szCs w:val="24"/>
        </w:rPr>
        <w:t>“2.1.</w:t>
      </w:r>
      <w:r w:rsidRPr="000901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Visu trīs Dekoru komplektu kompozīcijas veidojamas no LED gaismas avota kontūras, kura precīzi atveido to grafiskos elementus, kas doti šī publiski pieejamā Rīgas valstspilsētas grafiskās identitātes vadlīniju (turpmāk – Vadlīnijas) </w:t>
      </w:r>
      <w:hyperlink r:id="rId5" w:history="1">
        <w:r w:rsidRPr="00090174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lv-LV"/>
            <w14:ligatures w14:val="none"/>
          </w:rPr>
          <w:t>https://www.riga.lv/lv/rigas-vizuala-identitate-un-logo</w:t>
        </w:r>
      </w:hyperlink>
      <w:r w:rsidRPr="0009017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0901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dokumenta </w:t>
      </w:r>
      <w:hyperlink r:id="rId6" w:history="1">
        <w:r w:rsidRPr="00090174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lv-LV"/>
            <w14:ligatures w14:val="none"/>
          </w:rPr>
          <w:t>https://www.riga.lv/lv/media/49332/download?attachment</w:t>
        </w:r>
      </w:hyperlink>
      <w:r w:rsidRPr="0009017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. </w:t>
      </w:r>
      <w:r w:rsidRPr="000901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71. lappusē (turpmāk – Elementi), nepieļaujot nekādas atkāpes Elementu proporcijās un grafiskajā risinājumā. </w:t>
      </w:r>
    </w:p>
    <w:p w14:paraId="61E84C2D" w14:textId="62662607" w:rsidR="00090174" w:rsidRDefault="00090174" w:rsidP="0009017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0901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2.2. Dekoru dizaina iecerē pilnībā jāievēro visi Vadlīniju nosacījumi attiecībā uz Elementu izmantošanu un kompozīciju veidošanu no tiem.”</w:t>
      </w:r>
    </w:p>
    <w:p w14:paraId="2EE9996A" w14:textId="77777777" w:rsidR="00E72331" w:rsidRDefault="00E72331" w:rsidP="0009017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C7DACCC" w14:textId="77777777" w:rsidR="00090174" w:rsidRDefault="00090174" w:rsidP="009B33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209FDE7F" w14:textId="15121EEF" w:rsidR="00090174" w:rsidRDefault="00090174" w:rsidP="00CB0CEC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09017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Saskaņā ar Tehniskās specifikācijas 2.5.punktu, dekoram ir jābūt caurredzamam</w:t>
      </w:r>
      <w:r w:rsidR="001B54E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bet saskaņā ar 2.4.punktu </w:t>
      </w:r>
      <w:r w:rsidR="001B5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</w:t>
      </w:r>
      <w:r w:rsidR="001B54ED" w:rsidRPr="001B5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isu Dekoru Elementu LED gaismas avota kontūrai (turpmāk – LED kontūra) jāizmanto ārtelpu LED lente vai gaismas vads (</w:t>
      </w:r>
      <w:proofErr w:type="spellStart"/>
      <w:r w:rsidR="001B54ED" w:rsidRPr="001B5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Neonflex</w:t>
      </w:r>
      <w:proofErr w:type="spellEnd"/>
      <w:r w:rsidR="001B54ED" w:rsidRPr="001B5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vai analogs), savukārt rāmim, pie kura piestiprināta LED kontūra, jābūt izgatavotam no metinātas alumīnija konstrukcijas tādā risinājumā, lai rāmis kopā ar LED kontūru neizmainītu Elementu kopējās proporcijas.</w:t>
      </w:r>
    </w:p>
    <w:p w14:paraId="58EAB53C" w14:textId="77777777" w:rsidR="00F15167" w:rsidRDefault="00F15167" w:rsidP="00F15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789DDC6C" w14:textId="77777777" w:rsidR="00F15167" w:rsidRPr="00A16B40" w:rsidRDefault="00F15167" w:rsidP="00F1516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A16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Jebkādas atkāpes no Tehniskajā specifikācijā iekļautajiem norādījumiem vai neatbilstība tiem (tajā skaitā tehniskās specifikācijas norādījumu papildināšana – citu, tehniskajā specifikācijā nenorādītu elementu vai nenorādītu tehnoloģiju iekļaušana Dekoros) būs par pamatu piedāvājuma noraidīšanai.</w:t>
      </w:r>
    </w:p>
    <w:p w14:paraId="3AFC3584" w14:textId="77777777" w:rsidR="00F15167" w:rsidRPr="00F15167" w:rsidRDefault="00F15167" w:rsidP="00F15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7604F220" w14:textId="27BF4FC3" w:rsidR="00090174" w:rsidRPr="00A10BCE" w:rsidRDefault="00090174" w:rsidP="00090174">
      <w:pPr>
        <w:pStyle w:val="Sarakstarindkopa"/>
        <w:spacing w:line="256" w:lineRule="auto"/>
        <w:ind w:left="1494"/>
        <w:rPr>
          <w:rFonts w:ascii="Times New Roman" w:eastAsia="Calibri" w:hAnsi="Times New Roman" w:cs="Times New Roman"/>
          <w:sz w:val="24"/>
          <w:szCs w:val="24"/>
        </w:rPr>
      </w:pPr>
    </w:p>
    <w:sectPr w:rsidR="00090174" w:rsidRPr="00A10BCE" w:rsidSect="00A10BCE">
      <w:pgSz w:w="11906" w:h="16838"/>
      <w:pgMar w:top="993" w:right="1134" w:bottom="70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ECA"/>
    <w:multiLevelType w:val="hybridMultilevel"/>
    <w:tmpl w:val="D592D2E4"/>
    <w:lvl w:ilvl="0" w:tplc="0582C5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C06BBE"/>
    <w:multiLevelType w:val="hybridMultilevel"/>
    <w:tmpl w:val="DAB61200"/>
    <w:lvl w:ilvl="0" w:tplc="D9009162">
      <w:start w:val="1"/>
      <w:numFmt w:val="decimal"/>
      <w:lvlText w:val="%1&gt;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71B47A8"/>
    <w:multiLevelType w:val="hybridMultilevel"/>
    <w:tmpl w:val="E9FE45E0"/>
    <w:lvl w:ilvl="0" w:tplc="C4E07D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69814135">
    <w:abstractNumId w:val="2"/>
  </w:num>
  <w:num w:numId="2" w16cid:durableId="2135950078">
    <w:abstractNumId w:val="1"/>
  </w:num>
  <w:num w:numId="3" w16cid:durableId="84679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CE"/>
    <w:rsid w:val="00090174"/>
    <w:rsid w:val="001420C0"/>
    <w:rsid w:val="00145DE7"/>
    <w:rsid w:val="00191B14"/>
    <w:rsid w:val="001B54ED"/>
    <w:rsid w:val="002960BB"/>
    <w:rsid w:val="005072E5"/>
    <w:rsid w:val="005C1805"/>
    <w:rsid w:val="006D5222"/>
    <w:rsid w:val="00776581"/>
    <w:rsid w:val="0082497A"/>
    <w:rsid w:val="00884AAC"/>
    <w:rsid w:val="008D1C95"/>
    <w:rsid w:val="009873ED"/>
    <w:rsid w:val="009B33CE"/>
    <w:rsid w:val="00A10BCE"/>
    <w:rsid w:val="00A16B40"/>
    <w:rsid w:val="00A90266"/>
    <w:rsid w:val="00C14A30"/>
    <w:rsid w:val="00CC22CA"/>
    <w:rsid w:val="00DC6DB4"/>
    <w:rsid w:val="00E72331"/>
    <w:rsid w:val="00EB04F2"/>
    <w:rsid w:val="00F02F22"/>
    <w:rsid w:val="00F15167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B771A"/>
  <w15:chartTrackingRefBased/>
  <w15:docId w15:val="{5FE719AA-73EB-43FB-B690-1C8EFE7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1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1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1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1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1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1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1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1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1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1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1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1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10B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10B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10B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10B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10B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10B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1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1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1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1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1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10B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10B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10B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1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10B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10BCE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DC6DB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C6DB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C6DB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6D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6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ga.lv/lv/media/49332/download?attachment" TargetMode="External"/><Relationship Id="rId5" Type="http://schemas.openxmlformats.org/officeDocument/2006/relationships/hyperlink" Target="https://www.riga.lv/lv/rigas-vizuala-identitate-un-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4</cp:revision>
  <dcterms:created xsi:type="dcterms:W3CDTF">2025-09-01T12:49:00Z</dcterms:created>
  <dcterms:modified xsi:type="dcterms:W3CDTF">2025-09-01T12:56:00Z</dcterms:modified>
</cp:coreProperties>
</file>