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DD86" w14:textId="0F5E5F9A" w:rsidR="00DB2562" w:rsidRPr="00DB2562" w:rsidRDefault="00DB2562" w:rsidP="00DB2562">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4</w:t>
      </w:r>
      <w:r w:rsidRPr="00DB2562">
        <w:rPr>
          <w:rFonts w:ascii="Times New Roman" w:eastAsia="Times New Roman" w:hAnsi="Times New Roman" w:cs="Times New Roman"/>
          <w:color w:val="000000"/>
          <w:kern w:val="0"/>
          <w:sz w:val="26"/>
          <w:szCs w:val="26"/>
          <w:lang w:eastAsia="lv-LV"/>
          <w14:ligatures w14:val="none"/>
        </w:rPr>
        <w:t>.</w:t>
      </w:r>
      <w:r w:rsidR="00054F69">
        <w:rPr>
          <w:rFonts w:ascii="Times New Roman" w:eastAsia="Times New Roman" w:hAnsi="Times New Roman" w:cs="Times New Roman"/>
          <w:color w:val="000000"/>
          <w:kern w:val="0"/>
          <w:sz w:val="26"/>
          <w:szCs w:val="26"/>
          <w:lang w:eastAsia="lv-LV"/>
          <w14:ligatures w14:val="none"/>
        </w:rPr>
        <w:t> </w:t>
      </w:r>
      <w:r w:rsidRPr="00DB2562">
        <w:rPr>
          <w:rFonts w:ascii="Times New Roman" w:eastAsia="Times New Roman" w:hAnsi="Times New Roman" w:cs="Times New Roman"/>
          <w:color w:val="000000"/>
          <w:kern w:val="0"/>
          <w:sz w:val="26"/>
          <w:szCs w:val="26"/>
          <w:lang w:eastAsia="lv-LV"/>
          <w14:ligatures w14:val="none"/>
        </w:rPr>
        <w:t>pielikums pie iepirkuma</w:t>
      </w:r>
    </w:p>
    <w:p w14:paraId="255A42FC" w14:textId="41A329F5" w:rsidR="00DB2562" w:rsidRPr="00DB2562" w:rsidRDefault="00DB2562" w:rsidP="00DB2562">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DB2562">
        <w:rPr>
          <w:rFonts w:ascii="Times New Roman" w:eastAsia="Times New Roman" w:hAnsi="Times New Roman" w:cs="Times New Roman"/>
          <w:color w:val="000000"/>
          <w:kern w:val="0"/>
          <w:sz w:val="26"/>
          <w:szCs w:val="26"/>
          <w:lang w:eastAsia="lv-LV"/>
          <w14:ligatures w14:val="none"/>
        </w:rPr>
        <w:t>Nr. RVPIKSD  202</w:t>
      </w:r>
      <w:r w:rsidR="008D55E9">
        <w:rPr>
          <w:rFonts w:ascii="Times New Roman" w:eastAsia="Times New Roman" w:hAnsi="Times New Roman" w:cs="Times New Roman"/>
          <w:color w:val="000000"/>
          <w:kern w:val="0"/>
          <w:sz w:val="26"/>
          <w:szCs w:val="26"/>
          <w:lang w:eastAsia="lv-LV"/>
          <w14:ligatures w14:val="none"/>
        </w:rPr>
        <w:t>6</w:t>
      </w:r>
      <w:r w:rsidRPr="00DB2562">
        <w:rPr>
          <w:rFonts w:ascii="Times New Roman" w:eastAsia="Times New Roman" w:hAnsi="Times New Roman" w:cs="Times New Roman"/>
          <w:color w:val="000000"/>
          <w:kern w:val="0"/>
          <w:sz w:val="26"/>
          <w:szCs w:val="26"/>
          <w:lang w:eastAsia="lv-LV"/>
          <w14:ligatures w14:val="none"/>
        </w:rPr>
        <w:t>/</w:t>
      </w:r>
      <w:r w:rsidR="00DF20E0">
        <w:rPr>
          <w:rFonts w:ascii="Times New Roman" w:eastAsia="Times New Roman" w:hAnsi="Times New Roman" w:cs="Times New Roman"/>
          <w:color w:val="000000"/>
          <w:kern w:val="0"/>
          <w:sz w:val="26"/>
          <w:szCs w:val="26"/>
          <w:lang w:eastAsia="lv-LV"/>
          <w14:ligatures w14:val="none"/>
        </w:rPr>
        <w:t>15</w:t>
      </w:r>
      <w:r w:rsidRPr="00DB2562">
        <w:rPr>
          <w:rFonts w:ascii="Times New Roman" w:eastAsia="Times New Roman" w:hAnsi="Times New Roman" w:cs="Times New Roman"/>
          <w:color w:val="000000"/>
          <w:kern w:val="0"/>
          <w:sz w:val="26"/>
          <w:szCs w:val="26"/>
          <w:lang w:eastAsia="lv-LV"/>
          <w14:ligatures w14:val="none"/>
        </w:rPr>
        <w:t xml:space="preserve"> nolikuma</w:t>
      </w:r>
    </w:p>
    <w:p w14:paraId="1ED3E7FE" w14:textId="77777777" w:rsidR="00DB2562" w:rsidRDefault="00DB2562" w:rsidP="00DB2562">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p w14:paraId="19D1FC80" w14:textId="77777777" w:rsidR="00DB2562" w:rsidRDefault="00DB2562" w:rsidP="00DB2562">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p w14:paraId="644BAB38" w14:textId="77777777" w:rsidR="008D55E9" w:rsidRPr="008D55E9" w:rsidRDefault="008D55E9" w:rsidP="008D55E9">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r w:rsidRPr="008D55E9">
        <w:rPr>
          <w:rFonts w:ascii="Times New Roman" w:eastAsia="Times New Roman" w:hAnsi="Times New Roman" w:cs="Times New Roman"/>
          <w:b/>
          <w:bCs/>
          <w:kern w:val="0"/>
          <w:sz w:val="24"/>
          <w:szCs w:val="24"/>
          <w:lang w:eastAsia="lv-LV"/>
          <w14:ligatures w14:val="none"/>
        </w:rPr>
        <w:t xml:space="preserve">FINANŠU PIEDĀVĀJUMS  </w:t>
      </w:r>
    </w:p>
    <w:p w14:paraId="45F46281" w14:textId="77777777" w:rsidR="008D55E9" w:rsidRPr="008D55E9" w:rsidRDefault="008D55E9" w:rsidP="008D55E9">
      <w:pPr>
        <w:widowControl w:val="0"/>
        <w:suppressAutoHyphens/>
        <w:autoSpaceDE w:val="0"/>
        <w:autoSpaceDN w:val="0"/>
        <w:spacing w:after="0" w:line="240" w:lineRule="auto"/>
        <w:jc w:val="center"/>
        <w:textAlignment w:val="baseline"/>
        <w:rPr>
          <w:rFonts w:ascii="Times New Roman" w:eastAsia="Times New Roman" w:hAnsi="Times New Roman" w:cs="Times New Roman"/>
          <w:b/>
          <w:iCs/>
          <w:caps/>
          <w:color w:val="000000"/>
          <w:kern w:val="0"/>
          <w:sz w:val="24"/>
          <w:szCs w:val="24"/>
          <w:lang w:eastAsia="lv-LV"/>
          <w14:ligatures w14:val="none"/>
        </w:rPr>
      </w:pPr>
    </w:p>
    <w:p w14:paraId="1CBF59D8" w14:textId="77777777" w:rsidR="00DF20E0" w:rsidRPr="00DF20E0" w:rsidRDefault="00DF20E0" w:rsidP="00DF20E0">
      <w:pPr>
        <w:spacing w:after="0" w:line="240" w:lineRule="auto"/>
        <w:jc w:val="center"/>
        <w:rPr>
          <w:rFonts w:ascii="Times New Roman" w:eastAsia="Times New Roman" w:hAnsi="Times New Roman" w:cs="Times New Roman"/>
          <w:b/>
          <w:bCs/>
          <w:kern w:val="0"/>
          <w:sz w:val="24"/>
          <w:szCs w:val="24"/>
          <w:lang w:eastAsia="lv-LV"/>
          <w14:ligatures w14:val="none"/>
        </w:rPr>
      </w:pPr>
      <w:r w:rsidRPr="00DF20E0">
        <w:rPr>
          <w:rFonts w:ascii="Times New Roman" w:eastAsia="Times New Roman" w:hAnsi="Times New Roman" w:cs="Times New Roman"/>
          <w:b/>
          <w:bCs/>
          <w:kern w:val="0"/>
          <w:sz w:val="24"/>
          <w:szCs w:val="24"/>
          <w:lang w:eastAsia="lv-LV"/>
          <w14:ligatures w14:val="none"/>
        </w:rPr>
        <w:t>„Afišu stabu remonta, demontāžas, uzglabāšanas,</w:t>
      </w:r>
    </w:p>
    <w:p w14:paraId="73E66E5C" w14:textId="77777777" w:rsidR="00DF20E0" w:rsidRPr="00DF20E0" w:rsidRDefault="00DF20E0" w:rsidP="00DF20E0">
      <w:pPr>
        <w:spacing w:after="0" w:line="240" w:lineRule="auto"/>
        <w:jc w:val="center"/>
        <w:rPr>
          <w:rFonts w:ascii="Times New Roman" w:eastAsia="Times New Roman" w:hAnsi="Times New Roman" w:cs="Times New Roman"/>
          <w:b/>
          <w:bCs/>
          <w:kern w:val="0"/>
          <w:sz w:val="24"/>
          <w:szCs w:val="24"/>
          <w:lang w:eastAsia="lv-LV"/>
          <w14:ligatures w14:val="none"/>
        </w:rPr>
      </w:pPr>
      <w:r w:rsidRPr="00DF20E0">
        <w:rPr>
          <w:rFonts w:ascii="Times New Roman" w:eastAsia="Times New Roman" w:hAnsi="Times New Roman" w:cs="Times New Roman"/>
          <w:b/>
          <w:bCs/>
          <w:kern w:val="0"/>
          <w:sz w:val="24"/>
          <w:szCs w:val="24"/>
          <w:lang w:eastAsia="lv-LV"/>
          <w14:ligatures w14:val="none"/>
        </w:rPr>
        <w:t>apkopes un utilizācijas darbu veikšana”*</w:t>
      </w:r>
    </w:p>
    <w:p w14:paraId="6A24B6C8" w14:textId="77777777" w:rsidR="00DF20E0" w:rsidRPr="00DF20E0" w:rsidRDefault="00DF20E0" w:rsidP="00DF20E0">
      <w:pPr>
        <w:spacing w:after="0" w:line="240" w:lineRule="auto"/>
        <w:jc w:val="center"/>
        <w:rPr>
          <w:rFonts w:ascii="Times New Roman" w:eastAsia="Times New Roman" w:hAnsi="Times New Roman" w:cs="Times New Roman"/>
          <w:kern w:val="0"/>
          <w:sz w:val="24"/>
          <w:szCs w:val="24"/>
          <w:lang w:eastAsia="lv-LV"/>
          <w14:ligatures w14:val="none"/>
        </w:rPr>
      </w:pPr>
    </w:p>
    <w:p w14:paraId="1D84FE22" w14:textId="77777777" w:rsidR="00DF20E0" w:rsidRPr="00DF20E0" w:rsidRDefault="00DF20E0" w:rsidP="00DF20E0">
      <w:pPr>
        <w:numPr>
          <w:ilvl w:val="0"/>
          <w:numId w:val="1"/>
        </w:numPr>
        <w:shd w:val="clear" w:color="auto" w:fill="FFFFFF"/>
        <w:spacing w:after="0" w:line="240" w:lineRule="auto"/>
        <w:contextualSpacing/>
        <w:jc w:val="center"/>
        <w:rPr>
          <w:rFonts w:ascii="Times New Roman" w:eastAsia="Times New Roman" w:hAnsi="Times New Roman" w:cs="Times New Roman"/>
          <w:b/>
          <w:bCs/>
          <w:kern w:val="0"/>
          <w:sz w:val="24"/>
          <w:szCs w:val="24"/>
          <w:lang w:eastAsia="lv-LV"/>
          <w14:ligatures w14:val="none"/>
        </w:rPr>
      </w:pPr>
      <w:r w:rsidRPr="00DF20E0">
        <w:rPr>
          <w:rFonts w:ascii="Times New Roman" w:eastAsia="Times New Roman" w:hAnsi="Times New Roman" w:cs="Times New Roman"/>
          <w:b/>
          <w:bCs/>
          <w:kern w:val="0"/>
          <w:sz w:val="24"/>
          <w:szCs w:val="24"/>
          <w:lang w:eastAsia="lv-LV"/>
          <w14:ligatures w14:val="none"/>
        </w:rPr>
        <w:t>tabula “Afišu stabu remontu darbi”</w:t>
      </w:r>
    </w:p>
    <w:tbl>
      <w:tblPr>
        <w:tblStyle w:val="TableNormal12"/>
        <w:tblW w:w="5000" w:type="pct"/>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47"/>
        <w:gridCol w:w="7102"/>
        <w:gridCol w:w="851"/>
        <w:gridCol w:w="1128"/>
      </w:tblGrid>
      <w:tr w:rsidR="00DF20E0" w:rsidRPr="00DF20E0" w14:paraId="464CA93C" w14:textId="77777777" w:rsidTr="00176E2F">
        <w:trPr>
          <w:trHeight w:val="520"/>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63246" w14:textId="77777777" w:rsidR="00DF20E0" w:rsidRPr="00DF20E0" w:rsidRDefault="00DF20E0" w:rsidP="00DF20E0">
            <w:pPr>
              <w:shd w:val="clear" w:color="auto" w:fill="FFFFFF"/>
              <w:jc w:val="center"/>
              <w:rPr>
                <w:rFonts w:eastAsia="Times New Roman"/>
                <w:b/>
                <w:bCs/>
              </w:rPr>
            </w:pPr>
            <w:r w:rsidRPr="00DF20E0">
              <w:rPr>
                <w:rFonts w:eastAsia="Times New Roman"/>
                <w:b/>
                <w:bCs/>
              </w:rPr>
              <w:t>Nr.</w:t>
            </w:r>
          </w:p>
          <w:p w14:paraId="78936BB0" w14:textId="77777777" w:rsidR="00DF20E0" w:rsidRPr="00DF20E0" w:rsidRDefault="00DF20E0" w:rsidP="00DF20E0">
            <w:pPr>
              <w:shd w:val="clear" w:color="auto" w:fill="FFFFFF"/>
              <w:jc w:val="center"/>
              <w:rPr>
                <w:rFonts w:eastAsia="Times New Roman"/>
              </w:rPr>
            </w:pPr>
            <w:r w:rsidRPr="00DF20E0">
              <w:rPr>
                <w:rFonts w:eastAsia="Times New Roman"/>
                <w:b/>
                <w:bCs/>
              </w:rPr>
              <w:t>p.k.</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72AFC" w14:textId="77777777" w:rsidR="00DF20E0" w:rsidRPr="00DF20E0" w:rsidRDefault="00DF20E0" w:rsidP="00DF20E0">
            <w:pPr>
              <w:shd w:val="clear" w:color="auto" w:fill="FFFFFF"/>
              <w:jc w:val="center"/>
              <w:rPr>
                <w:rFonts w:eastAsia="Times New Roman"/>
              </w:rPr>
            </w:pPr>
            <w:r w:rsidRPr="00DF20E0">
              <w:rPr>
                <w:rFonts w:eastAsia="Times New Roman"/>
                <w:b/>
                <w:bCs/>
              </w:rPr>
              <w:t>Darbu veids</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8DCB1" w14:textId="77777777" w:rsidR="00DF20E0" w:rsidRPr="00DF20E0" w:rsidRDefault="00DF20E0" w:rsidP="00DF20E0">
            <w:pPr>
              <w:shd w:val="clear" w:color="auto" w:fill="FFFFFF"/>
              <w:jc w:val="center"/>
              <w:rPr>
                <w:rFonts w:eastAsia="Times New Roman"/>
              </w:rPr>
            </w:pPr>
            <w:r w:rsidRPr="00DF20E0">
              <w:rPr>
                <w:rFonts w:eastAsia="Times New Roman"/>
                <w:b/>
                <w:bCs/>
              </w:rPr>
              <w:t>Vienība</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72F4C" w14:textId="77777777" w:rsidR="00DF20E0" w:rsidRPr="00DF20E0" w:rsidRDefault="00DF20E0" w:rsidP="00DF20E0">
            <w:pPr>
              <w:shd w:val="clear" w:color="auto" w:fill="FFFFFF"/>
              <w:jc w:val="center"/>
              <w:rPr>
                <w:rFonts w:eastAsia="Times New Roman"/>
                <w:b/>
                <w:bCs/>
              </w:rPr>
            </w:pPr>
            <w:r w:rsidRPr="00DF20E0">
              <w:rPr>
                <w:rFonts w:eastAsia="Times New Roman"/>
                <w:b/>
                <w:bCs/>
              </w:rPr>
              <w:t>Cena EUR,</w:t>
            </w:r>
          </w:p>
          <w:p w14:paraId="147E248B" w14:textId="77777777" w:rsidR="00DF20E0" w:rsidRPr="00DF20E0" w:rsidRDefault="00DF20E0" w:rsidP="00DF20E0">
            <w:pPr>
              <w:shd w:val="clear" w:color="auto" w:fill="FFFFFF"/>
              <w:jc w:val="center"/>
              <w:rPr>
                <w:rFonts w:eastAsia="Times New Roman"/>
              </w:rPr>
            </w:pPr>
            <w:r w:rsidRPr="00DF20E0">
              <w:rPr>
                <w:rFonts w:eastAsia="Times New Roman"/>
                <w:b/>
                <w:bCs/>
              </w:rPr>
              <w:t>bez PVN</w:t>
            </w:r>
          </w:p>
        </w:tc>
      </w:tr>
      <w:tr w:rsidR="00DF20E0" w:rsidRPr="00DF20E0" w14:paraId="56F3B7E9" w14:textId="77777777" w:rsidTr="00176E2F">
        <w:trPr>
          <w:trHeight w:val="15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547E6" w14:textId="77777777" w:rsidR="00DF20E0" w:rsidRPr="00DF20E0" w:rsidRDefault="00DF20E0" w:rsidP="00DF20E0">
            <w:pPr>
              <w:shd w:val="clear" w:color="auto" w:fill="FFFFFF"/>
              <w:contextualSpacing/>
              <w:jc w:val="center"/>
              <w:rPr>
                <w:rFonts w:eastAsia="Times New Roman"/>
                <w:sz w:val="24"/>
                <w:szCs w:val="24"/>
              </w:rPr>
            </w:pPr>
            <w:r w:rsidRPr="00DF20E0">
              <w:rPr>
                <w:rFonts w:eastAsia="Times New Roman"/>
                <w:sz w:val="24"/>
                <w:szCs w:val="24"/>
              </w:rPr>
              <w:t>1.</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3EF71" w14:textId="77777777" w:rsidR="00DF20E0" w:rsidRPr="00DF20E0" w:rsidRDefault="00DF20E0" w:rsidP="00DF20E0">
            <w:pPr>
              <w:shd w:val="clear" w:color="auto" w:fill="FFFFFF"/>
              <w:contextualSpacing/>
              <w:rPr>
                <w:rFonts w:eastAsia="Times New Roman"/>
                <w:sz w:val="24"/>
                <w:szCs w:val="24"/>
              </w:rPr>
            </w:pPr>
            <w:r w:rsidRPr="00DF20E0">
              <w:rPr>
                <w:rFonts w:eastAsia="Times New Roman"/>
                <w:sz w:val="24"/>
                <w:szCs w:val="24"/>
              </w:rPr>
              <w:t xml:space="preserve">Bojāta skārda vai plastmasas afišu staba un pamata pilnīga demontāža </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56DF6" w14:textId="77777777" w:rsidR="00DF20E0" w:rsidRPr="00DF20E0" w:rsidRDefault="00DF20E0" w:rsidP="00DF20E0">
            <w:pPr>
              <w:shd w:val="clear" w:color="auto" w:fill="FFFFFF"/>
              <w:contextualSpacing/>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83AC7" w14:textId="77777777" w:rsidR="00DF20E0" w:rsidRPr="00DF20E0" w:rsidRDefault="00DF20E0" w:rsidP="00DF20E0">
            <w:pPr>
              <w:shd w:val="clear" w:color="auto" w:fill="FFFFFF"/>
              <w:contextualSpacing/>
              <w:jc w:val="center"/>
              <w:rPr>
                <w:rFonts w:eastAsia="Times New Roman"/>
                <w:sz w:val="24"/>
                <w:szCs w:val="24"/>
              </w:rPr>
            </w:pPr>
          </w:p>
        </w:tc>
      </w:tr>
      <w:tr w:rsidR="00DF20E0" w:rsidRPr="00DF20E0" w14:paraId="4098413F"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35AC2"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2.</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D9AA5"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Bojāta betona afišu staba un pamata pilnīga demontāža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28170"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C62D5" w14:textId="77777777" w:rsidR="00DF20E0" w:rsidRPr="00DF20E0" w:rsidRDefault="00DF20E0" w:rsidP="00DF20E0">
            <w:pPr>
              <w:shd w:val="clear" w:color="auto" w:fill="FFFFFF"/>
              <w:jc w:val="center"/>
              <w:rPr>
                <w:rFonts w:eastAsia="Times New Roman"/>
                <w:sz w:val="24"/>
                <w:szCs w:val="24"/>
              </w:rPr>
            </w:pPr>
          </w:p>
        </w:tc>
      </w:tr>
      <w:tr w:rsidR="00DF20E0" w:rsidRPr="00DF20E0" w14:paraId="0FBD96EF"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BECBF"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3.</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63393"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 xml:space="preserve">Bojāta afišu staba fasādes cilindra pilnīga atjaunošana ar cinkota skārda loksni </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58697" w14:textId="77777777" w:rsidR="00DF20E0" w:rsidRPr="00DF20E0" w:rsidRDefault="00DF20E0" w:rsidP="00DF20E0">
            <w:pPr>
              <w:shd w:val="clear" w:color="auto" w:fill="FFFFFF"/>
              <w:jc w:val="center"/>
              <w:rPr>
                <w:rFonts w:eastAsia="Times New Roman"/>
                <w:sz w:val="24"/>
                <w:szCs w:val="24"/>
              </w:rPr>
            </w:pPr>
          </w:p>
          <w:p w14:paraId="12B90FD2"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m</w:t>
            </w:r>
            <w:r w:rsidRPr="00DF20E0">
              <w:rPr>
                <w:rFonts w:eastAsia="Times New Roman"/>
                <w:sz w:val="24"/>
                <w:szCs w:val="24"/>
                <w:vertAlign w:val="superscript"/>
              </w:rPr>
              <w:t>2</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0B145" w14:textId="77777777" w:rsidR="00DF20E0" w:rsidRPr="00DF20E0" w:rsidRDefault="00DF20E0" w:rsidP="00DF20E0">
            <w:pPr>
              <w:shd w:val="clear" w:color="auto" w:fill="FFFFFF"/>
              <w:jc w:val="center"/>
              <w:rPr>
                <w:rFonts w:eastAsia="Times New Roman"/>
                <w:sz w:val="24"/>
                <w:szCs w:val="24"/>
              </w:rPr>
            </w:pPr>
          </w:p>
        </w:tc>
      </w:tr>
      <w:tr w:rsidR="00DF20E0" w:rsidRPr="00DF20E0" w14:paraId="77A4794C"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413C1"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4.</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6D782"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Bojāta afišu staba standarta jumta konstrukcijas remonts (bojājums līdz 30%)</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694EF"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C4E4B" w14:textId="77777777" w:rsidR="00DF20E0" w:rsidRPr="00DF20E0" w:rsidRDefault="00DF20E0" w:rsidP="00DF20E0">
            <w:pPr>
              <w:shd w:val="clear" w:color="auto" w:fill="FFFFFF"/>
              <w:jc w:val="center"/>
              <w:rPr>
                <w:rFonts w:eastAsia="Times New Roman"/>
                <w:sz w:val="24"/>
                <w:szCs w:val="24"/>
              </w:rPr>
            </w:pPr>
          </w:p>
        </w:tc>
      </w:tr>
      <w:tr w:rsidR="00DF20E0" w:rsidRPr="00DF20E0" w14:paraId="26546E38"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E4195"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5.</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6DD67"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 xml:space="preserve">Bojāta vēsturiskā afišu staba jumta konstrukcijas remonts (bojājums līdz 30%) </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87E07"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7A291" w14:textId="77777777" w:rsidR="00DF20E0" w:rsidRPr="00DF20E0" w:rsidRDefault="00DF20E0" w:rsidP="00DF20E0">
            <w:pPr>
              <w:shd w:val="clear" w:color="auto" w:fill="FFFFFF"/>
              <w:jc w:val="center"/>
              <w:rPr>
                <w:rFonts w:eastAsia="Times New Roman"/>
                <w:sz w:val="24"/>
                <w:szCs w:val="24"/>
              </w:rPr>
            </w:pPr>
          </w:p>
        </w:tc>
      </w:tr>
      <w:tr w:rsidR="00DF20E0" w:rsidRPr="00DF20E0" w14:paraId="5ACE2995"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51025"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6.</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91EF4"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Bojāta vēsturiskā betona afišu staba jumta konstrukcijas remonts (bojājums līdz 30%)</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5435E"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646FD" w14:textId="77777777" w:rsidR="00DF20E0" w:rsidRPr="00DF20E0" w:rsidRDefault="00DF20E0" w:rsidP="00DF20E0">
            <w:pPr>
              <w:shd w:val="clear" w:color="auto" w:fill="FFFFFF"/>
              <w:jc w:val="center"/>
              <w:rPr>
                <w:rFonts w:eastAsia="Times New Roman"/>
                <w:sz w:val="24"/>
                <w:szCs w:val="24"/>
              </w:rPr>
            </w:pPr>
          </w:p>
        </w:tc>
      </w:tr>
      <w:tr w:rsidR="00DF20E0" w:rsidRPr="00DF20E0" w14:paraId="17BE86F5"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E1285"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7.</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9468B"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 xml:space="preserve">Standarta afišu staba jumta konstrukcijas izgatavošana un uzstādīšana </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40E40"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37939" w14:textId="77777777" w:rsidR="00DF20E0" w:rsidRPr="00DF20E0" w:rsidRDefault="00DF20E0" w:rsidP="00DF20E0">
            <w:pPr>
              <w:shd w:val="clear" w:color="auto" w:fill="FFFFFF"/>
              <w:jc w:val="center"/>
              <w:rPr>
                <w:rFonts w:eastAsia="Times New Roman"/>
                <w:sz w:val="24"/>
                <w:szCs w:val="24"/>
              </w:rPr>
            </w:pPr>
          </w:p>
        </w:tc>
      </w:tr>
      <w:tr w:rsidR="00DF20E0" w:rsidRPr="00DF20E0" w14:paraId="77A55C94"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C133D"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8.</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AC169"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Vēsturiskā skārda vai plastmasas afišu staba jumta konstrukcijas izgatavošana un uzstādīšana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A01B"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CF6CF" w14:textId="77777777" w:rsidR="00DF20E0" w:rsidRPr="00DF20E0" w:rsidRDefault="00DF20E0" w:rsidP="00DF20E0">
            <w:pPr>
              <w:shd w:val="clear" w:color="auto" w:fill="FFFFFF"/>
              <w:jc w:val="center"/>
              <w:rPr>
                <w:rFonts w:eastAsia="Times New Roman"/>
                <w:sz w:val="24"/>
                <w:szCs w:val="24"/>
              </w:rPr>
            </w:pPr>
          </w:p>
        </w:tc>
      </w:tr>
      <w:tr w:rsidR="00DF20E0" w:rsidRPr="00DF20E0" w14:paraId="146D2728"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DA3DC"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9.</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3FFC5"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Vēsturiskā betona afišu staba jumta konstrukcijas izgatavošana un uzstādīšana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80207"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2C21A" w14:textId="77777777" w:rsidR="00DF20E0" w:rsidRPr="00DF20E0" w:rsidRDefault="00DF20E0" w:rsidP="00DF20E0">
            <w:pPr>
              <w:shd w:val="clear" w:color="auto" w:fill="FFFFFF"/>
              <w:jc w:val="center"/>
              <w:rPr>
                <w:rFonts w:eastAsia="Times New Roman"/>
                <w:sz w:val="24"/>
                <w:szCs w:val="24"/>
              </w:rPr>
            </w:pPr>
          </w:p>
        </w:tc>
      </w:tr>
      <w:tr w:rsidR="00DF20E0" w:rsidRPr="00DF20E0" w14:paraId="048419F9"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3D67D"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10.</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852A6"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Betona afišu staba cilindra nomaiņa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790F6"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0DB27" w14:textId="77777777" w:rsidR="00DF20E0" w:rsidRPr="00DF20E0" w:rsidRDefault="00DF20E0" w:rsidP="00DF20E0">
            <w:pPr>
              <w:shd w:val="clear" w:color="auto" w:fill="FFFFFF"/>
              <w:jc w:val="center"/>
              <w:rPr>
                <w:rFonts w:eastAsia="Times New Roman"/>
                <w:sz w:val="24"/>
                <w:szCs w:val="24"/>
              </w:rPr>
            </w:pPr>
          </w:p>
        </w:tc>
      </w:tr>
      <w:tr w:rsidR="00DF20E0" w:rsidRPr="00DF20E0" w14:paraId="04C7719B"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1EC7"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11.</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A9069"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Betona afišu staba karnīzes izgatavošana un uzstādīšana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2D700"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EE015" w14:textId="77777777" w:rsidR="00DF20E0" w:rsidRPr="00DF20E0" w:rsidRDefault="00DF20E0" w:rsidP="00DF20E0">
            <w:pPr>
              <w:shd w:val="clear" w:color="auto" w:fill="FFFFFF"/>
              <w:jc w:val="center"/>
              <w:rPr>
                <w:rFonts w:eastAsia="Times New Roman"/>
                <w:sz w:val="24"/>
                <w:szCs w:val="24"/>
              </w:rPr>
            </w:pPr>
          </w:p>
        </w:tc>
      </w:tr>
      <w:tr w:rsidR="00DF20E0" w:rsidRPr="00DF20E0" w14:paraId="6E8D2058"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DF0F7"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12.</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233A3"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Afišu staba konstrukcijas krāsošana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3AA17"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m</w:t>
            </w:r>
            <w:r w:rsidRPr="00DF20E0">
              <w:rPr>
                <w:rFonts w:eastAsia="Times New Roman"/>
                <w:sz w:val="24"/>
                <w:szCs w:val="24"/>
                <w:vertAlign w:val="superscript"/>
              </w:rPr>
              <w:t>2</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0FED5" w14:textId="77777777" w:rsidR="00DF20E0" w:rsidRPr="00DF20E0" w:rsidRDefault="00DF20E0" w:rsidP="00DF20E0">
            <w:pPr>
              <w:shd w:val="clear" w:color="auto" w:fill="FFFFFF"/>
              <w:jc w:val="center"/>
              <w:rPr>
                <w:rFonts w:eastAsia="Times New Roman"/>
                <w:sz w:val="24"/>
                <w:szCs w:val="24"/>
              </w:rPr>
            </w:pPr>
          </w:p>
        </w:tc>
      </w:tr>
      <w:tr w:rsidR="00DF20E0" w:rsidRPr="00DF20E0" w14:paraId="6CCF5309"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ED09F"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13.</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638F5"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 xml:space="preserve">Afišu staba notīrīšana, plaisu špaktelēšana, gruntēšana un krāsošana </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3D6A3"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m</w:t>
            </w:r>
            <w:r w:rsidRPr="00DF20E0">
              <w:rPr>
                <w:rFonts w:eastAsia="Times New Roman"/>
                <w:sz w:val="24"/>
                <w:szCs w:val="24"/>
                <w:vertAlign w:val="superscript"/>
              </w:rPr>
              <w:t>2</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DF792" w14:textId="77777777" w:rsidR="00DF20E0" w:rsidRPr="00DF20E0" w:rsidRDefault="00DF20E0" w:rsidP="00DF20E0">
            <w:pPr>
              <w:shd w:val="clear" w:color="auto" w:fill="FFFFFF"/>
              <w:jc w:val="center"/>
              <w:rPr>
                <w:rFonts w:eastAsia="Times New Roman"/>
                <w:sz w:val="24"/>
                <w:szCs w:val="24"/>
              </w:rPr>
            </w:pPr>
          </w:p>
        </w:tc>
      </w:tr>
      <w:tr w:rsidR="00DF20E0" w:rsidRPr="00DF20E0" w14:paraId="35781B04"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1668B"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14.</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7E073"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Šķība betona afišu staba iztaisnošana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A8294"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049B3" w14:textId="77777777" w:rsidR="00DF20E0" w:rsidRPr="00DF20E0" w:rsidRDefault="00DF20E0" w:rsidP="00DF20E0">
            <w:pPr>
              <w:shd w:val="clear" w:color="auto" w:fill="FFFFFF"/>
              <w:jc w:val="center"/>
              <w:rPr>
                <w:rFonts w:eastAsia="Times New Roman"/>
                <w:sz w:val="24"/>
                <w:szCs w:val="24"/>
              </w:rPr>
            </w:pPr>
          </w:p>
        </w:tc>
      </w:tr>
      <w:tr w:rsidR="00DF20E0" w:rsidRPr="00DF20E0" w14:paraId="234F7111"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12AC3"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15.</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27187"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Šķība skārda vai plastmasas afišu staba iztaisnošana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A1717"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4BF66" w14:textId="77777777" w:rsidR="00DF20E0" w:rsidRPr="00DF20E0" w:rsidRDefault="00DF20E0" w:rsidP="00DF20E0">
            <w:pPr>
              <w:shd w:val="clear" w:color="auto" w:fill="FFFFFF"/>
              <w:jc w:val="center"/>
              <w:rPr>
                <w:rFonts w:eastAsia="Times New Roman"/>
                <w:sz w:val="24"/>
                <w:szCs w:val="24"/>
              </w:rPr>
            </w:pPr>
          </w:p>
        </w:tc>
      </w:tr>
      <w:tr w:rsidR="00DF20E0" w:rsidRPr="00DF20E0" w14:paraId="7BE86E04"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157D1"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16.</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2C112"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Skārda afišu staba detaļu iztaisnošana ( buktes, locījumi)</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5A8B5"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5E112" w14:textId="77777777" w:rsidR="00DF20E0" w:rsidRPr="00DF20E0" w:rsidRDefault="00DF20E0" w:rsidP="00DF20E0">
            <w:pPr>
              <w:shd w:val="clear" w:color="auto" w:fill="FFFFFF"/>
              <w:jc w:val="center"/>
              <w:rPr>
                <w:rFonts w:eastAsia="Times New Roman"/>
                <w:sz w:val="24"/>
                <w:szCs w:val="24"/>
              </w:rPr>
            </w:pPr>
          </w:p>
        </w:tc>
      </w:tr>
      <w:tr w:rsidR="00DF20E0" w:rsidRPr="00DF20E0" w14:paraId="78DB3D41"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180AC"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17.</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20BA4"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Afišu staba pārvietošana (demontēšana, transportēšana un uzstādīšana citā vietā) Rīgas pilsētas robežās</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58585"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00B38" w14:textId="77777777" w:rsidR="00DF20E0" w:rsidRPr="00DF20E0" w:rsidRDefault="00DF20E0" w:rsidP="00DF20E0">
            <w:pPr>
              <w:shd w:val="clear" w:color="auto" w:fill="FFFFFF"/>
              <w:jc w:val="center"/>
              <w:rPr>
                <w:rFonts w:eastAsia="Times New Roman"/>
                <w:sz w:val="24"/>
                <w:szCs w:val="24"/>
              </w:rPr>
            </w:pPr>
          </w:p>
        </w:tc>
      </w:tr>
      <w:tr w:rsidR="00DF20E0" w:rsidRPr="00DF20E0" w14:paraId="11E6B0A1"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9E59F"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18.</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AB3BF"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Afišu staba pārvietošana  uz noliktavu (demontēšana, transportēšana) un uzstādīšana citā vietā pēc uzglabāšanas</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E5598"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366C55" w14:textId="77777777" w:rsidR="00DF20E0" w:rsidRPr="00DF20E0" w:rsidRDefault="00DF20E0" w:rsidP="00DF20E0">
            <w:pPr>
              <w:shd w:val="clear" w:color="auto" w:fill="FFFFFF"/>
              <w:jc w:val="center"/>
              <w:rPr>
                <w:rFonts w:eastAsia="Times New Roman"/>
                <w:sz w:val="24"/>
                <w:szCs w:val="24"/>
              </w:rPr>
            </w:pPr>
          </w:p>
        </w:tc>
      </w:tr>
      <w:tr w:rsidR="00DF20E0" w:rsidRPr="00DF20E0" w14:paraId="361B3EEB"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2C95C"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lastRenderedPageBreak/>
              <w:t>19.</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3A318"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Afišu staba aprīkošana ar  horizontālām, cinkotām metāla stīpām.</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48CEF"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F9606" w14:textId="77777777" w:rsidR="00DF20E0" w:rsidRPr="00DF20E0" w:rsidRDefault="00DF20E0" w:rsidP="00DF20E0">
            <w:pPr>
              <w:shd w:val="clear" w:color="auto" w:fill="FFFFFF"/>
              <w:jc w:val="center"/>
              <w:rPr>
                <w:rFonts w:eastAsia="Times New Roman"/>
                <w:sz w:val="24"/>
                <w:szCs w:val="24"/>
              </w:rPr>
            </w:pPr>
          </w:p>
        </w:tc>
      </w:tr>
      <w:tr w:rsidR="00DF20E0" w:rsidRPr="00DF20E0" w14:paraId="47512E83"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995F0"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20.</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9E67C"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Afišu staba pamatu (līdz 30 cm) betonēšana</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DC1C22"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00C35" w14:textId="77777777" w:rsidR="00DF20E0" w:rsidRPr="00DF20E0" w:rsidRDefault="00DF20E0" w:rsidP="00DF20E0">
            <w:pPr>
              <w:shd w:val="clear" w:color="auto" w:fill="FFFFFF"/>
              <w:jc w:val="center"/>
              <w:rPr>
                <w:rFonts w:eastAsia="Times New Roman"/>
                <w:sz w:val="24"/>
                <w:szCs w:val="24"/>
              </w:rPr>
            </w:pPr>
          </w:p>
        </w:tc>
      </w:tr>
      <w:tr w:rsidR="00DF20E0" w:rsidRPr="00DF20E0" w14:paraId="260EA5F7"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22897"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21.</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BE9E6"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 xml:space="preserve">Rīgas pilsētas mazā ģerboņa izgatavošana no cinkota metāla (krāsots trijos toņos, atbilstoši Rīgas domes 03.07.2012. saistošajiem noteikumiem Nr.181”Par Rīgas pilsētas simboliku” ) un uzstādīšana uz afišu staba augšējās daļas proporcionāli izmēram. </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8C325"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32AD3" w14:textId="77777777" w:rsidR="00DF20E0" w:rsidRPr="00DF20E0" w:rsidRDefault="00DF20E0" w:rsidP="00DF20E0">
            <w:pPr>
              <w:shd w:val="clear" w:color="auto" w:fill="FFFFFF"/>
              <w:jc w:val="center"/>
              <w:rPr>
                <w:rFonts w:eastAsia="Times New Roman"/>
                <w:sz w:val="24"/>
                <w:szCs w:val="24"/>
              </w:rPr>
            </w:pPr>
          </w:p>
        </w:tc>
      </w:tr>
      <w:tr w:rsidR="00DF20E0" w:rsidRPr="00DF20E0" w14:paraId="2C23874A" w14:textId="77777777" w:rsidTr="00176E2F">
        <w:trPr>
          <w:trHeight w:val="113"/>
          <w:jc w:val="right"/>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1A8E2" w14:textId="77777777" w:rsidR="00DF20E0" w:rsidRPr="00DF20E0" w:rsidRDefault="00DF20E0" w:rsidP="00DF20E0">
            <w:pPr>
              <w:shd w:val="clear" w:color="auto" w:fill="FFFFFF"/>
              <w:jc w:val="center"/>
              <w:rPr>
                <w:rFonts w:eastAsia="Times New Roman"/>
                <w:sz w:val="24"/>
                <w:szCs w:val="24"/>
              </w:rPr>
            </w:pPr>
            <w:r w:rsidRPr="00DF20E0">
              <w:rPr>
                <w:rFonts w:eastAsia="Times New Roman"/>
                <w:sz w:val="24"/>
                <w:szCs w:val="24"/>
              </w:rPr>
              <w:t>22.</w:t>
            </w:r>
          </w:p>
        </w:tc>
        <w:tc>
          <w:tcPr>
            <w:tcW w:w="36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8A9C3"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Rīgas pilsētas mazā ģerboņa izgatavošana no cinkota metāla (krāsots, krāsas tonis RAL 7030) un uzstādīšana uz afišu staba augšējās daļas proporcionāli izmēram.</w:t>
            </w:r>
          </w:p>
        </w:tc>
        <w:tc>
          <w:tcPr>
            <w:tcW w:w="44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57881" w14:textId="77777777" w:rsidR="00DF20E0" w:rsidRPr="00DF20E0" w:rsidRDefault="00DF20E0" w:rsidP="00DF20E0">
            <w:pPr>
              <w:shd w:val="clear" w:color="auto" w:fill="FFFFFF"/>
              <w:rPr>
                <w:rFonts w:eastAsia="Times New Roman"/>
                <w:sz w:val="24"/>
                <w:szCs w:val="24"/>
              </w:rPr>
            </w:pPr>
            <w:r w:rsidRPr="00DF20E0">
              <w:rPr>
                <w:rFonts w:eastAsia="Times New Roman"/>
                <w:sz w:val="24"/>
                <w:szCs w:val="24"/>
              </w:rPr>
              <w:t>1 gab.</w:t>
            </w:r>
          </w:p>
        </w:tc>
        <w:tc>
          <w:tcPr>
            <w:tcW w:w="5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CBE75" w14:textId="77777777" w:rsidR="00DF20E0" w:rsidRPr="00DF20E0" w:rsidRDefault="00DF20E0" w:rsidP="00DF20E0">
            <w:pPr>
              <w:shd w:val="clear" w:color="auto" w:fill="FFFFFF"/>
              <w:jc w:val="center"/>
              <w:rPr>
                <w:rFonts w:eastAsia="Times New Roman"/>
                <w:sz w:val="24"/>
                <w:szCs w:val="24"/>
              </w:rPr>
            </w:pPr>
          </w:p>
        </w:tc>
      </w:tr>
      <w:tr w:rsidR="00DF20E0" w:rsidRPr="00DF20E0" w14:paraId="4F086910" w14:textId="77777777" w:rsidTr="00176E2F">
        <w:trPr>
          <w:trHeight w:val="195"/>
          <w:jc w:val="right"/>
        </w:trPr>
        <w:tc>
          <w:tcPr>
            <w:tcW w:w="3972" w:type="pct"/>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6A09F43A" w14:textId="77777777" w:rsidR="00DF20E0" w:rsidRPr="00DF20E0" w:rsidRDefault="00DF20E0" w:rsidP="00DF20E0">
            <w:pPr>
              <w:shd w:val="clear" w:color="auto" w:fill="FFFFFF"/>
              <w:jc w:val="right"/>
              <w:rPr>
                <w:rFonts w:eastAsia="Times New Roman"/>
                <w:sz w:val="24"/>
                <w:szCs w:val="24"/>
              </w:rPr>
            </w:pPr>
            <w:bookmarkStart w:id="0" w:name="_Hlk124257799"/>
            <w:r w:rsidRPr="00DF20E0">
              <w:rPr>
                <w:rFonts w:eastAsia="Times New Roman"/>
                <w:b/>
                <w:bCs/>
                <w:sz w:val="24"/>
                <w:szCs w:val="24"/>
              </w:rPr>
              <w:t>Kopā (EUR bez PVN)</w:t>
            </w:r>
          </w:p>
        </w:tc>
        <w:tc>
          <w:tcPr>
            <w:tcW w:w="1028" w:type="pct"/>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AEB46D0" w14:textId="77777777" w:rsidR="00DF20E0" w:rsidRPr="00DF20E0" w:rsidRDefault="00DF20E0" w:rsidP="00DF20E0">
            <w:pPr>
              <w:shd w:val="clear" w:color="auto" w:fill="FFFFFF"/>
              <w:jc w:val="center"/>
              <w:rPr>
                <w:rFonts w:eastAsia="Times New Roman"/>
                <w:sz w:val="24"/>
                <w:szCs w:val="24"/>
              </w:rPr>
            </w:pPr>
          </w:p>
        </w:tc>
      </w:tr>
      <w:tr w:rsidR="00DF20E0" w:rsidRPr="00DF20E0" w14:paraId="2641B8A2" w14:textId="77777777" w:rsidTr="00176E2F">
        <w:trPr>
          <w:trHeight w:val="32"/>
          <w:jc w:val="right"/>
        </w:trPr>
        <w:tc>
          <w:tcPr>
            <w:tcW w:w="3972" w:type="pct"/>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0B359F1" w14:textId="77777777" w:rsidR="00DF20E0" w:rsidRPr="00DF20E0" w:rsidRDefault="00DF20E0" w:rsidP="00DF20E0">
            <w:pPr>
              <w:shd w:val="clear" w:color="auto" w:fill="FFFFFF"/>
              <w:jc w:val="right"/>
              <w:rPr>
                <w:rFonts w:eastAsia="Times New Roman"/>
                <w:b/>
                <w:bCs/>
                <w:sz w:val="24"/>
                <w:szCs w:val="24"/>
              </w:rPr>
            </w:pPr>
            <w:r w:rsidRPr="00DF20E0">
              <w:rPr>
                <w:rFonts w:eastAsia="Times New Roman"/>
                <w:b/>
                <w:bCs/>
                <w:sz w:val="24"/>
                <w:szCs w:val="24"/>
              </w:rPr>
              <w:t>PVN 21%</w:t>
            </w:r>
          </w:p>
        </w:tc>
        <w:tc>
          <w:tcPr>
            <w:tcW w:w="1028" w:type="pct"/>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B8E1ED5" w14:textId="77777777" w:rsidR="00DF20E0" w:rsidRPr="00DF20E0" w:rsidRDefault="00DF20E0" w:rsidP="00DF20E0">
            <w:pPr>
              <w:shd w:val="clear" w:color="auto" w:fill="FFFFFF"/>
              <w:jc w:val="center"/>
              <w:rPr>
                <w:rFonts w:eastAsia="Times New Roman"/>
                <w:sz w:val="24"/>
                <w:szCs w:val="24"/>
              </w:rPr>
            </w:pPr>
          </w:p>
        </w:tc>
      </w:tr>
      <w:tr w:rsidR="00DF20E0" w:rsidRPr="00DF20E0" w14:paraId="70BD67FD" w14:textId="77777777" w:rsidTr="00176E2F">
        <w:trPr>
          <w:trHeight w:val="24"/>
          <w:jc w:val="right"/>
        </w:trPr>
        <w:tc>
          <w:tcPr>
            <w:tcW w:w="3972" w:type="pct"/>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254DDDE" w14:textId="77777777" w:rsidR="00DF20E0" w:rsidRPr="00DF20E0" w:rsidRDefault="00DF20E0" w:rsidP="00DF20E0">
            <w:pPr>
              <w:shd w:val="clear" w:color="auto" w:fill="FFFFFF"/>
              <w:jc w:val="right"/>
              <w:rPr>
                <w:rFonts w:eastAsia="Times New Roman"/>
                <w:b/>
                <w:bCs/>
                <w:sz w:val="24"/>
                <w:szCs w:val="24"/>
              </w:rPr>
            </w:pPr>
            <w:r w:rsidRPr="00DF20E0">
              <w:rPr>
                <w:rFonts w:eastAsia="Times New Roman"/>
                <w:b/>
                <w:bCs/>
                <w:sz w:val="24"/>
                <w:szCs w:val="24"/>
              </w:rPr>
              <w:t>Pavisam kopā (EUR ar PVN)</w:t>
            </w:r>
          </w:p>
        </w:tc>
        <w:tc>
          <w:tcPr>
            <w:tcW w:w="1028" w:type="pct"/>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CD05E45" w14:textId="77777777" w:rsidR="00DF20E0" w:rsidRPr="00DF20E0" w:rsidRDefault="00DF20E0" w:rsidP="00DF20E0">
            <w:pPr>
              <w:shd w:val="clear" w:color="auto" w:fill="FFFFFF"/>
              <w:jc w:val="center"/>
              <w:rPr>
                <w:rFonts w:eastAsia="Times New Roman"/>
                <w:sz w:val="24"/>
                <w:szCs w:val="24"/>
              </w:rPr>
            </w:pPr>
          </w:p>
        </w:tc>
      </w:tr>
      <w:bookmarkEnd w:id="0"/>
    </w:tbl>
    <w:p w14:paraId="2D4B3678" w14:textId="77777777" w:rsidR="00DF20E0" w:rsidRPr="00DF20E0" w:rsidRDefault="00DF20E0" w:rsidP="00DF20E0">
      <w:pPr>
        <w:widowControl w:val="0"/>
        <w:spacing w:after="0" w:line="240" w:lineRule="auto"/>
        <w:rPr>
          <w:rFonts w:ascii="Times New Roman" w:eastAsia="Times New Roman" w:hAnsi="Times New Roman" w:cs="Times New Roman"/>
          <w:kern w:val="0"/>
          <w:sz w:val="24"/>
          <w:szCs w:val="24"/>
          <w:lang w:eastAsia="lv-LV"/>
          <w14:ligatures w14:val="none"/>
        </w:rPr>
      </w:pPr>
    </w:p>
    <w:p w14:paraId="39756040" w14:textId="77777777" w:rsidR="00DF20E0" w:rsidRPr="00DF20E0" w:rsidRDefault="00DF20E0" w:rsidP="00DF20E0">
      <w:pPr>
        <w:spacing w:after="0" w:line="240" w:lineRule="auto"/>
        <w:jc w:val="center"/>
        <w:rPr>
          <w:rFonts w:ascii="Times New Roman" w:eastAsia="Times New Roman" w:hAnsi="Times New Roman" w:cs="Times New Roman"/>
          <w:b/>
          <w:bCs/>
          <w:kern w:val="0"/>
          <w:sz w:val="24"/>
          <w:szCs w:val="24"/>
          <w:lang w:eastAsia="lv-LV"/>
          <w14:ligatures w14:val="none"/>
        </w:rPr>
      </w:pPr>
      <w:r w:rsidRPr="00DF20E0">
        <w:rPr>
          <w:rFonts w:ascii="Times New Roman" w:eastAsia="Times New Roman" w:hAnsi="Times New Roman" w:cs="Times New Roman"/>
          <w:b/>
          <w:bCs/>
          <w:kern w:val="0"/>
          <w:sz w:val="24"/>
          <w:szCs w:val="24"/>
          <w:lang w:eastAsia="lv-LV"/>
          <w14:ligatures w14:val="none"/>
        </w:rPr>
        <w:t>2. tabula “Afišu staba utilizācijas darbi”</w:t>
      </w:r>
    </w:p>
    <w:tbl>
      <w:tblPr>
        <w:tblStyle w:val="TableNormal12"/>
        <w:tblW w:w="97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13"/>
        <w:gridCol w:w="6379"/>
        <w:gridCol w:w="1490"/>
        <w:gridCol w:w="1203"/>
      </w:tblGrid>
      <w:tr w:rsidR="00DF20E0" w:rsidRPr="00DF20E0" w14:paraId="0E00568C" w14:textId="77777777" w:rsidTr="00176E2F">
        <w:trPr>
          <w:trHeight w:val="113"/>
          <w:jc w:val="center"/>
        </w:trPr>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A5C1A" w14:textId="77777777" w:rsidR="00DF20E0" w:rsidRPr="00DF20E0" w:rsidRDefault="00DF20E0" w:rsidP="00DF20E0">
            <w:pPr>
              <w:jc w:val="center"/>
              <w:rPr>
                <w:rFonts w:eastAsia="Times New Roman"/>
                <w:b/>
                <w:bCs/>
              </w:rPr>
            </w:pPr>
            <w:r w:rsidRPr="00DF20E0">
              <w:rPr>
                <w:rFonts w:eastAsia="Times New Roman"/>
                <w:b/>
                <w:bCs/>
              </w:rPr>
              <w:t>Nr.</w:t>
            </w:r>
          </w:p>
          <w:p w14:paraId="2DAC3E05" w14:textId="77777777" w:rsidR="00DF20E0" w:rsidRPr="00DF20E0" w:rsidRDefault="00DF20E0" w:rsidP="00DF20E0">
            <w:pPr>
              <w:jc w:val="center"/>
              <w:rPr>
                <w:rFonts w:eastAsia="Times New Roman"/>
              </w:rPr>
            </w:pPr>
            <w:r w:rsidRPr="00DF20E0">
              <w:rPr>
                <w:rFonts w:eastAsia="Times New Roman"/>
                <w:b/>
                <w:bCs/>
              </w:rPr>
              <w:t>p.k.</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400DC" w14:textId="77777777" w:rsidR="00DF20E0" w:rsidRPr="00DF20E0" w:rsidRDefault="00DF20E0" w:rsidP="00DF20E0">
            <w:pPr>
              <w:jc w:val="center"/>
              <w:rPr>
                <w:rFonts w:eastAsia="Times New Roman"/>
              </w:rPr>
            </w:pPr>
            <w:r w:rsidRPr="00DF20E0">
              <w:rPr>
                <w:rFonts w:eastAsia="Times New Roman"/>
                <w:b/>
                <w:bCs/>
              </w:rPr>
              <w:t>Darbu veids</w:t>
            </w:r>
          </w:p>
        </w:tc>
        <w:tc>
          <w:tcPr>
            <w:tcW w:w="1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1D6DB" w14:textId="77777777" w:rsidR="00DF20E0" w:rsidRPr="00DF20E0" w:rsidRDefault="00DF20E0" w:rsidP="00DF20E0">
            <w:pPr>
              <w:jc w:val="center"/>
              <w:rPr>
                <w:rFonts w:eastAsia="Times New Roman"/>
              </w:rPr>
            </w:pPr>
            <w:r w:rsidRPr="00DF20E0">
              <w:rPr>
                <w:rFonts w:eastAsia="Times New Roman"/>
                <w:b/>
                <w:bCs/>
              </w:rPr>
              <w:t>Vienība</w:t>
            </w:r>
          </w:p>
        </w:tc>
        <w:tc>
          <w:tcPr>
            <w:tcW w:w="1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0C6EB9" w14:textId="77777777" w:rsidR="00DF20E0" w:rsidRPr="00DF20E0" w:rsidRDefault="00DF20E0" w:rsidP="00DF20E0">
            <w:pPr>
              <w:jc w:val="center"/>
              <w:rPr>
                <w:rFonts w:eastAsia="Times New Roman"/>
              </w:rPr>
            </w:pPr>
            <w:r w:rsidRPr="00DF20E0">
              <w:rPr>
                <w:rFonts w:eastAsia="Times New Roman"/>
                <w:b/>
                <w:bCs/>
              </w:rPr>
              <w:t>Cena EUR, bez PVN</w:t>
            </w:r>
          </w:p>
        </w:tc>
      </w:tr>
      <w:tr w:rsidR="00DF20E0" w:rsidRPr="00DF20E0" w14:paraId="4D6B7E2C" w14:textId="77777777" w:rsidTr="00176E2F">
        <w:trPr>
          <w:trHeight w:val="113"/>
          <w:jc w:val="center"/>
        </w:trPr>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4FA33" w14:textId="77777777" w:rsidR="00DF20E0" w:rsidRPr="00DF20E0" w:rsidRDefault="00DF20E0" w:rsidP="00DF20E0">
            <w:pPr>
              <w:jc w:val="center"/>
              <w:rPr>
                <w:rFonts w:eastAsia="Times New Roman"/>
                <w:sz w:val="24"/>
                <w:szCs w:val="24"/>
              </w:rPr>
            </w:pPr>
            <w:r w:rsidRPr="00DF20E0">
              <w:rPr>
                <w:rFonts w:eastAsia="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F38FD" w14:textId="77777777" w:rsidR="00DF20E0" w:rsidRPr="00DF20E0" w:rsidRDefault="00DF20E0" w:rsidP="00DF20E0">
            <w:pPr>
              <w:rPr>
                <w:rFonts w:eastAsia="Times New Roman"/>
                <w:sz w:val="24"/>
                <w:szCs w:val="24"/>
              </w:rPr>
            </w:pPr>
            <w:r w:rsidRPr="00DF20E0">
              <w:rPr>
                <w:rFonts w:eastAsia="Times New Roman"/>
                <w:sz w:val="24"/>
                <w:szCs w:val="24"/>
              </w:rPr>
              <w:t>Bojāta skārda vai plastmasas afišu staba utilizācija</w:t>
            </w:r>
          </w:p>
        </w:tc>
        <w:tc>
          <w:tcPr>
            <w:tcW w:w="1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A202B" w14:textId="77777777" w:rsidR="00DF20E0" w:rsidRPr="00DF20E0" w:rsidRDefault="00DF20E0" w:rsidP="00DF20E0">
            <w:pPr>
              <w:rPr>
                <w:rFonts w:eastAsia="Times New Roman"/>
                <w:sz w:val="24"/>
                <w:szCs w:val="24"/>
              </w:rPr>
            </w:pPr>
            <w:r w:rsidRPr="00DF20E0">
              <w:rPr>
                <w:rFonts w:eastAsia="Times New Roman"/>
                <w:sz w:val="24"/>
                <w:szCs w:val="24"/>
              </w:rPr>
              <w:t>1 gab.</w:t>
            </w:r>
          </w:p>
        </w:tc>
        <w:tc>
          <w:tcPr>
            <w:tcW w:w="1203"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vAlign w:val="center"/>
          </w:tcPr>
          <w:p w14:paraId="19F0FECB" w14:textId="77777777" w:rsidR="00DF20E0" w:rsidRPr="00DF20E0" w:rsidRDefault="00DF20E0" w:rsidP="00DF20E0">
            <w:pPr>
              <w:rPr>
                <w:rFonts w:eastAsia="Times New Roman"/>
                <w:sz w:val="24"/>
                <w:szCs w:val="24"/>
              </w:rPr>
            </w:pPr>
          </w:p>
        </w:tc>
      </w:tr>
      <w:tr w:rsidR="00DF20E0" w:rsidRPr="00DF20E0" w14:paraId="5AE46E7D" w14:textId="77777777" w:rsidTr="00176E2F">
        <w:trPr>
          <w:trHeight w:val="113"/>
          <w:jc w:val="center"/>
        </w:trPr>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44251" w14:textId="77777777" w:rsidR="00DF20E0" w:rsidRPr="00DF20E0" w:rsidRDefault="00DF20E0" w:rsidP="00DF20E0">
            <w:pPr>
              <w:jc w:val="center"/>
              <w:rPr>
                <w:rFonts w:eastAsia="Times New Roman"/>
                <w:sz w:val="24"/>
                <w:szCs w:val="24"/>
              </w:rPr>
            </w:pPr>
            <w:r w:rsidRPr="00DF20E0">
              <w:rPr>
                <w:rFonts w:eastAsia="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0D937" w14:textId="77777777" w:rsidR="00DF20E0" w:rsidRPr="00DF20E0" w:rsidRDefault="00DF20E0" w:rsidP="00DF20E0">
            <w:pPr>
              <w:rPr>
                <w:rFonts w:eastAsia="Times New Roman"/>
                <w:sz w:val="24"/>
                <w:szCs w:val="24"/>
              </w:rPr>
            </w:pPr>
            <w:r w:rsidRPr="00DF20E0">
              <w:rPr>
                <w:rFonts w:eastAsia="Times New Roman"/>
                <w:sz w:val="24"/>
                <w:szCs w:val="24"/>
              </w:rPr>
              <w:t>Bojāta betona afišu staba pilnīga utilizācija</w:t>
            </w:r>
          </w:p>
        </w:tc>
        <w:tc>
          <w:tcPr>
            <w:tcW w:w="1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A113D" w14:textId="77777777" w:rsidR="00DF20E0" w:rsidRPr="00DF20E0" w:rsidRDefault="00DF20E0" w:rsidP="00DF20E0">
            <w:pPr>
              <w:rPr>
                <w:rFonts w:eastAsia="Times New Roman"/>
                <w:sz w:val="24"/>
                <w:szCs w:val="24"/>
              </w:rPr>
            </w:pPr>
            <w:r w:rsidRPr="00DF20E0">
              <w:rPr>
                <w:rFonts w:eastAsia="Times New Roman"/>
                <w:sz w:val="24"/>
                <w:szCs w:val="24"/>
              </w:rPr>
              <w:t>1 gab.</w:t>
            </w:r>
          </w:p>
        </w:tc>
        <w:tc>
          <w:tcPr>
            <w:tcW w:w="1203" w:type="dxa"/>
            <w:tcBorders>
              <w:top w:val="single" w:sz="4" w:space="0" w:color="000000"/>
              <w:left w:val="single" w:sz="4" w:space="0" w:color="000000"/>
              <w:bottom w:val="single" w:sz="4" w:space="0" w:color="000000"/>
              <w:right w:val="single" w:sz="4" w:space="0" w:color="000000"/>
            </w:tcBorders>
            <w:tcMar>
              <w:top w:w="80" w:type="dxa"/>
              <w:left w:w="397" w:type="dxa"/>
              <w:bottom w:w="80" w:type="dxa"/>
              <w:right w:w="80" w:type="dxa"/>
            </w:tcMar>
            <w:vAlign w:val="center"/>
          </w:tcPr>
          <w:p w14:paraId="4594072F" w14:textId="77777777" w:rsidR="00DF20E0" w:rsidRPr="00DF20E0" w:rsidRDefault="00DF20E0" w:rsidP="00DF20E0">
            <w:pPr>
              <w:rPr>
                <w:rFonts w:eastAsia="Times New Roman"/>
                <w:sz w:val="24"/>
                <w:szCs w:val="24"/>
              </w:rPr>
            </w:pPr>
          </w:p>
        </w:tc>
      </w:tr>
      <w:tr w:rsidR="00DF20E0" w:rsidRPr="00DF20E0" w14:paraId="0B464752" w14:textId="77777777" w:rsidTr="00176E2F">
        <w:trPr>
          <w:trHeight w:val="93"/>
          <w:jc w:val="center"/>
        </w:trPr>
        <w:tc>
          <w:tcPr>
            <w:tcW w:w="7092" w:type="dxa"/>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086F9824" w14:textId="77777777" w:rsidR="00DF20E0" w:rsidRPr="00DF20E0" w:rsidRDefault="00DF20E0" w:rsidP="00DF20E0">
            <w:pPr>
              <w:ind w:right="-789"/>
              <w:jc w:val="right"/>
              <w:rPr>
                <w:rFonts w:eastAsia="Times New Roman"/>
                <w:b/>
                <w:bCs/>
                <w:sz w:val="24"/>
                <w:szCs w:val="24"/>
              </w:rPr>
            </w:pPr>
            <w:r w:rsidRPr="00DF20E0">
              <w:rPr>
                <w:rFonts w:eastAsia="Times New Roman"/>
                <w:b/>
                <w:bCs/>
                <w:sz w:val="24"/>
                <w:szCs w:val="24"/>
              </w:rPr>
              <w:t xml:space="preserve">                                  Kopā (EUR bez PVN)</w:t>
            </w:r>
            <w:r w:rsidRPr="00DF20E0">
              <w:rPr>
                <w:rFonts w:eastAsia="Times New Roman"/>
                <w:b/>
                <w:bCs/>
                <w:sz w:val="24"/>
                <w:szCs w:val="24"/>
              </w:rPr>
              <w:tab/>
            </w:r>
            <w:r w:rsidRPr="00DF20E0">
              <w:rPr>
                <w:rFonts w:eastAsia="Times New Roman"/>
                <w:b/>
                <w:bCs/>
                <w:sz w:val="24"/>
                <w:szCs w:val="24"/>
              </w:rPr>
              <w:tab/>
            </w:r>
          </w:p>
        </w:tc>
        <w:tc>
          <w:tcPr>
            <w:tcW w:w="2693" w:type="dxa"/>
            <w:gridSpan w:val="2"/>
            <w:tcBorders>
              <w:top w:val="single" w:sz="4" w:space="0" w:color="000000"/>
              <w:left w:val="single" w:sz="4" w:space="0" w:color="000000"/>
              <w:bottom w:val="single" w:sz="4" w:space="0" w:color="auto"/>
              <w:right w:val="single" w:sz="4" w:space="0" w:color="000000"/>
            </w:tcBorders>
            <w:tcMar>
              <w:top w:w="80" w:type="dxa"/>
              <w:left w:w="256" w:type="dxa"/>
              <w:bottom w:w="80" w:type="dxa"/>
              <w:right w:w="80" w:type="dxa"/>
            </w:tcMar>
          </w:tcPr>
          <w:p w14:paraId="3C2C51AE" w14:textId="77777777" w:rsidR="00DF20E0" w:rsidRPr="00DF20E0" w:rsidRDefault="00DF20E0" w:rsidP="00DF20E0">
            <w:pPr>
              <w:ind w:left="176" w:firstLine="23"/>
              <w:rPr>
                <w:rFonts w:eastAsia="Times New Roman"/>
                <w:sz w:val="24"/>
                <w:szCs w:val="24"/>
              </w:rPr>
            </w:pPr>
          </w:p>
        </w:tc>
      </w:tr>
      <w:tr w:rsidR="00DF20E0" w:rsidRPr="00DF20E0" w14:paraId="2117D32A" w14:textId="77777777" w:rsidTr="00176E2F">
        <w:trPr>
          <w:trHeight w:val="113"/>
          <w:jc w:val="center"/>
        </w:trPr>
        <w:tc>
          <w:tcPr>
            <w:tcW w:w="709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22AD6BA" w14:textId="77777777" w:rsidR="00DF20E0" w:rsidRPr="00DF20E0" w:rsidRDefault="00DF20E0" w:rsidP="00DF20E0">
            <w:pPr>
              <w:jc w:val="right"/>
              <w:rPr>
                <w:rFonts w:eastAsia="Times New Roman"/>
                <w:b/>
                <w:bCs/>
                <w:sz w:val="24"/>
                <w:szCs w:val="24"/>
              </w:rPr>
            </w:pPr>
            <w:r w:rsidRPr="00DF20E0">
              <w:rPr>
                <w:rFonts w:eastAsia="Times New Roman"/>
                <w:b/>
                <w:bCs/>
                <w:sz w:val="24"/>
                <w:szCs w:val="24"/>
              </w:rPr>
              <w:t>PVN 21%</w:t>
            </w:r>
          </w:p>
        </w:tc>
        <w:tc>
          <w:tcPr>
            <w:tcW w:w="2693" w:type="dxa"/>
            <w:gridSpan w:val="2"/>
            <w:tcBorders>
              <w:top w:val="single" w:sz="4" w:space="0" w:color="auto"/>
              <w:left w:val="single" w:sz="4" w:space="0" w:color="000000"/>
              <w:bottom w:val="single" w:sz="4" w:space="0" w:color="auto"/>
              <w:right w:val="single" w:sz="4" w:space="0" w:color="000000"/>
            </w:tcBorders>
            <w:tcMar>
              <w:top w:w="80" w:type="dxa"/>
              <w:left w:w="256" w:type="dxa"/>
              <w:bottom w:w="80" w:type="dxa"/>
              <w:right w:w="80" w:type="dxa"/>
            </w:tcMar>
          </w:tcPr>
          <w:p w14:paraId="607C716A" w14:textId="77777777" w:rsidR="00DF20E0" w:rsidRPr="00DF20E0" w:rsidRDefault="00DF20E0" w:rsidP="00DF20E0">
            <w:pPr>
              <w:ind w:left="176" w:firstLine="23"/>
              <w:rPr>
                <w:rFonts w:eastAsia="Times New Roman"/>
                <w:sz w:val="24"/>
                <w:szCs w:val="24"/>
              </w:rPr>
            </w:pPr>
          </w:p>
        </w:tc>
      </w:tr>
      <w:tr w:rsidR="00DF20E0" w:rsidRPr="00DF20E0" w14:paraId="6159BCE6" w14:textId="77777777" w:rsidTr="00176E2F">
        <w:trPr>
          <w:trHeight w:val="113"/>
          <w:jc w:val="center"/>
        </w:trPr>
        <w:tc>
          <w:tcPr>
            <w:tcW w:w="7092" w:type="dxa"/>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2A0CBC10" w14:textId="77777777" w:rsidR="00DF20E0" w:rsidRPr="00DF20E0" w:rsidRDefault="00DF20E0" w:rsidP="00DF20E0">
            <w:pPr>
              <w:jc w:val="right"/>
              <w:rPr>
                <w:rFonts w:eastAsia="Times New Roman"/>
                <w:b/>
                <w:bCs/>
                <w:sz w:val="24"/>
                <w:szCs w:val="24"/>
              </w:rPr>
            </w:pPr>
            <w:r w:rsidRPr="00DF20E0">
              <w:rPr>
                <w:rFonts w:eastAsia="Times New Roman"/>
                <w:b/>
                <w:bCs/>
                <w:sz w:val="24"/>
                <w:szCs w:val="24"/>
              </w:rPr>
              <w:t>Pavisam kopā (EUR ar PVN)</w:t>
            </w:r>
          </w:p>
        </w:tc>
        <w:tc>
          <w:tcPr>
            <w:tcW w:w="2693" w:type="dxa"/>
            <w:gridSpan w:val="2"/>
            <w:tcBorders>
              <w:top w:val="single" w:sz="4" w:space="0" w:color="auto"/>
              <w:left w:val="single" w:sz="4" w:space="0" w:color="000000"/>
              <w:bottom w:val="single" w:sz="4" w:space="0" w:color="000000"/>
              <w:right w:val="single" w:sz="4" w:space="0" w:color="000000"/>
            </w:tcBorders>
            <w:tcMar>
              <w:top w:w="80" w:type="dxa"/>
              <w:left w:w="256" w:type="dxa"/>
              <w:bottom w:w="80" w:type="dxa"/>
              <w:right w:w="80" w:type="dxa"/>
            </w:tcMar>
          </w:tcPr>
          <w:p w14:paraId="4597886E" w14:textId="77777777" w:rsidR="00DF20E0" w:rsidRPr="00DF20E0" w:rsidRDefault="00DF20E0" w:rsidP="00DF20E0">
            <w:pPr>
              <w:ind w:left="176" w:firstLine="23"/>
              <w:rPr>
                <w:rFonts w:eastAsia="Times New Roman"/>
                <w:sz w:val="24"/>
                <w:szCs w:val="24"/>
              </w:rPr>
            </w:pPr>
          </w:p>
        </w:tc>
      </w:tr>
    </w:tbl>
    <w:p w14:paraId="4AB0B4B2" w14:textId="77777777" w:rsidR="00DF20E0" w:rsidRPr="00DF20E0" w:rsidRDefault="00DF20E0" w:rsidP="00DF20E0">
      <w:pPr>
        <w:spacing w:after="0" w:line="240" w:lineRule="auto"/>
        <w:rPr>
          <w:rFonts w:ascii="Times New Roman" w:eastAsia="Times New Roman" w:hAnsi="Times New Roman" w:cs="Times New Roman"/>
          <w:kern w:val="0"/>
          <w:sz w:val="24"/>
          <w:szCs w:val="24"/>
          <w:lang w:eastAsia="lv-LV"/>
          <w14:ligatures w14:val="none"/>
        </w:rPr>
      </w:pPr>
    </w:p>
    <w:p w14:paraId="7810F524" w14:textId="77777777" w:rsidR="00DF20E0" w:rsidRPr="00DF20E0" w:rsidRDefault="00DF20E0" w:rsidP="00DF20E0">
      <w:pPr>
        <w:spacing w:after="0" w:line="240" w:lineRule="auto"/>
        <w:jc w:val="center"/>
        <w:rPr>
          <w:rFonts w:ascii="Times New Roman" w:eastAsia="Times New Roman" w:hAnsi="Times New Roman" w:cs="Times New Roman"/>
          <w:b/>
          <w:bCs/>
          <w:kern w:val="0"/>
          <w:sz w:val="24"/>
          <w:szCs w:val="24"/>
          <w:lang w:eastAsia="lv-LV"/>
          <w14:ligatures w14:val="none"/>
        </w:rPr>
      </w:pPr>
      <w:r w:rsidRPr="00DF20E0">
        <w:rPr>
          <w:rFonts w:ascii="Times New Roman" w:eastAsia="Times New Roman" w:hAnsi="Times New Roman" w:cs="Times New Roman"/>
          <w:b/>
          <w:bCs/>
          <w:kern w:val="0"/>
          <w:sz w:val="24"/>
          <w:szCs w:val="24"/>
          <w:lang w:eastAsia="lv-LV"/>
          <w14:ligatures w14:val="none"/>
        </w:rPr>
        <w:t>3. tabula “Labiekārtošanas darbi pēc afišu staba demontāžas”</w:t>
      </w:r>
    </w:p>
    <w:tbl>
      <w:tblPr>
        <w:tblStyle w:val="TableNormal12"/>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47"/>
        <w:gridCol w:w="5848"/>
        <w:gridCol w:w="961"/>
        <w:gridCol w:w="2272"/>
      </w:tblGrid>
      <w:tr w:rsidR="00DF20E0" w:rsidRPr="00DF20E0" w14:paraId="0A8A54C8" w14:textId="77777777" w:rsidTr="00176E2F">
        <w:trPr>
          <w:trHeight w:val="113"/>
          <w:jc w:val="center"/>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99562C" w14:textId="77777777" w:rsidR="00DF20E0" w:rsidRPr="00DF20E0" w:rsidRDefault="00DF20E0" w:rsidP="00DF20E0">
            <w:pPr>
              <w:jc w:val="center"/>
              <w:rPr>
                <w:rFonts w:eastAsia="Times New Roman"/>
                <w:b/>
                <w:bCs/>
              </w:rPr>
            </w:pPr>
            <w:r w:rsidRPr="00DF20E0">
              <w:rPr>
                <w:rFonts w:eastAsia="Times New Roman"/>
                <w:b/>
                <w:bCs/>
              </w:rPr>
              <w:t>Nr.</w:t>
            </w:r>
          </w:p>
          <w:p w14:paraId="3E8BA5A2" w14:textId="77777777" w:rsidR="00DF20E0" w:rsidRPr="00DF20E0" w:rsidRDefault="00DF20E0" w:rsidP="00DF20E0">
            <w:pPr>
              <w:jc w:val="center"/>
              <w:rPr>
                <w:rFonts w:eastAsia="Times New Roman"/>
              </w:rPr>
            </w:pPr>
            <w:r w:rsidRPr="00DF20E0">
              <w:rPr>
                <w:rFonts w:eastAsia="Times New Roman"/>
                <w:b/>
                <w:bCs/>
              </w:rPr>
              <w:t>p.k.</w:t>
            </w:r>
          </w:p>
        </w:tc>
        <w:tc>
          <w:tcPr>
            <w:tcW w:w="30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5E14EA" w14:textId="77777777" w:rsidR="00DF20E0" w:rsidRPr="00DF20E0" w:rsidRDefault="00DF20E0" w:rsidP="00DF20E0">
            <w:pPr>
              <w:jc w:val="center"/>
              <w:rPr>
                <w:rFonts w:eastAsia="Times New Roman"/>
              </w:rPr>
            </w:pPr>
            <w:r w:rsidRPr="00DF20E0">
              <w:rPr>
                <w:rFonts w:eastAsia="Times New Roman"/>
                <w:b/>
                <w:bCs/>
              </w:rPr>
              <w:t>Darbu veids</w:t>
            </w:r>
          </w:p>
        </w:tc>
        <w:tc>
          <w:tcPr>
            <w:tcW w:w="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51F69" w14:textId="77777777" w:rsidR="00DF20E0" w:rsidRPr="00DF20E0" w:rsidRDefault="00DF20E0" w:rsidP="00DF20E0">
            <w:pPr>
              <w:jc w:val="center"/>
              <w:rPr>
                <w:rFonts w:eastAsia="Times New Roman"/>
              </w:rPr>
            </w:pPr>
            <w:r w:rsidRPr="00DF20E0">
              <w:rPr>
                <w:rFonts w:eastAsia="Times New Roman"/>
                <w:b/>
                <w:bCs/>
              </w:rPr>
              <w:t>Vienība</w:t>
            </w:r>
          </w:p>
        </w:tc>
        <w:tc>
          <w:tcPr>
            <w:tcW w:w="1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A2E725" w14:textId="77777777" w:rsidR="00DF20E0" w:rsidRPr="00DF20E0" w:rsidRDefault="00DF20E0" w:rsidP="00DF20E0">
            <w:pPr>
              <w:jc w:val="center"/>
              <w:rPr>
                <w:rFonts w:eastAsia="Times New Roman"/>
              </w:rPr>
            </w:pPr>
            <w:r w:rsidRPr="00DF20E0">
              <w:rPr>
                <w:rFonts w:eastAsia="Times New Roman"/>
                <w:b/>
                <w:bCs/>
              </w:rPr>
              <w:t>Cena EUR, bez PVN</w:t>
            </w:r>
          </w:p>
        </w:tc>
      </w:tr>
      <w:tr w:rsidR="00DF20E0" w:rsidRPr="00DF20E0" w14:paraId="718B3FEF" w14:textId="77777777" w:rsidTr="00176E2F">
        <w:trPr>
          <w:trHeight w:val="113"/>
          <w:jc w:val="center"/>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32411" w14:textId="77777777" w:rsidR="00DF20E0" w:rsidRPr="00DF20E0" w:rsidRDefault="00DF20E0" w:rsidP="00DF20E0">
            <w:pPr>
              <w:ind w:left="-90" w:firstLine="90"/>
              <w:jc w:val="center"/>
              <w:rPr>
                <w:rFonts w:eastAsia="Times New Roman"/>
                <w:sz w:val="24"/>
                <w:szCs w:val="24"/>
              </w:rPr>
            </w:pPr>
            <w:r w:rsidRPr="00DF20E0">
              <w:rPr>
                <w:rFonts w:eastAsia="Times New Roman"/>
                <w:sz w:val="24"/>
                <w:szCs w:val="24"/>
              </w:rPr>
              <w:t>1.</w:t>
            </w:r>
          </w:p>
        </w:tc>
        <w:tc>
          <w:tcPr>
            <w:tcW w:w="30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B8ED8" w14:textId="77777777" w:rsidR="00DF20E0" w:rsidRPr="00DF20E0" w:rsidRDefault="00DF20E0" w:rsidP="00DF20E0">
            <w:pPr>
              <w:jc w:val="both"/>
              <w:rPr>
                <w:rFonts w:eastAsia="Times New Roman"/>
                <w:sz w:val="24"/>
                <w:szCs w:val="24"/>
              </w:rPr>
            </w:pPr>
            <w:r w:rsidRPr="00DF20E0">
              <w:rPr>
                <w:rFonts w:eastAsia="Times New Roman"/>
                <w:sz w:val="24"/>
                <w:szCs w:val="24"/>
              </w:rPr>
              <w:t>Asfalta seguma atjaunošana (ieskaitot grunts sagatavošanu)</w:t>
            </w:r>
          </w:p>
        </w:tc>
        <w:tc>
          <w:tcPr>
            <w:tcW w:w="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3D93F" w14:textId="77777777" w:rsidR="00DF20E0" w:rsidRPr="00DF20E0" w:rsidRDefault="00DF20E0" w:rsidP="00DF20E0">
            <w:pPr>
              <w:jc w:val="center"/>
              <w:rPr>
                <w:rFonts w:eastAsia="Times New Roman"/>
                <w:sz w:val="24"/>
                <w:szCs w:val="24"/>
              </w:rPr>
            </w:pPr>
            <w:r w:rsidRPr="00DF20E0">
              <w:rPr>
                <w:rFonts w:eastAsia="Times New Roman"/>
                <w:sz w:val="24"/>
                <w:szCs w:val="24"/>
              </w:rPr>
              <w:t xml:space="preserve"> 1 m</w:t>
            </w:r>
            <w:r w:rsidRPr="00DF20E0">
              <w:rPr>
                <w:rFonts w:eastAsia="Times New Roman"/>
                <w:sz w:val="24"/>
                <w:szCs w:val="24"/>
                <w:vertAlign w:val="superscript"/>
              </w:rPr>
              <w:t>2</w:t>
            </w:r>
          </w:p>
        </w:tc>
        <w:tc>
          <w:tcPr>
            <w:tcW w:w="1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422B7D" w14:textId="77777777" w:rsidR="00DF20E0" w:rsidRPr="00DF20E0" w:rsidRDefault="00DF20E0" w:rsidP="00DF20E0">
            <w:pPr>
              <w:jc w:val="center"/>
              <w:rPr>
                <w:rFonts w:eastAsia="Times New Roman"/>
                <w:sz w:val="24"/>
                <w:szCs w:val="24"/>
              </w:rPr>
            </w:pPr>
          </w:p>
        </w:tc>
      </w:tr>
      <w:tr w:rsidR="00DF20E0" w:rsidRPr="00DF20E0" w14:paraId="1E03BA11" w14:textId="77777777" w:rsidTr="00176E2F">
        <w:trPr>
          <w:trHeight w:val="113"/>
          <w:jc w:val="center"/>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0B8C0" w14:textId="77777777" w:rsidR="00DF20E0" w:rsidRPr="00DF20E0" w:rsidRDefault="00DF20E0" w:rsidP="00DF20E0">
            <w:pPr>
              <w:jc w:val="center"/>
              <w:rPr>
                <w:rFonts w:eastAsia="Times New Roman"/>
                <w:sz w:val="24"/>
                <w:szCs w:val="24"/>
              </w:rPr>
            </w:pPr>
            <w:r w:rsidRPr="00DF20E0">
              <w:rPr>
                <w:rFonts w:eastAsia="Times New Roman"/>
                <w:sz w:val="24"/>
                <w:szCs w:val="24"/>
              </w:rPr>
              <w:t>2.</w:t>
            </w:r>
          </w:p>
        </w:tc>
        <w:tc>
          <w:tcPr>
            <w:tcW w:w="30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C5A38" w14:textId="77777777" w:rsidR="00DF20E0" w:rsidRPr="00DF20E0" w:rsidRDefault="00DF20E0" w:rsidP="00DF20E0">
            <w:pPr>
              <w:jc w:val="both"/>
              <w:rPr>
                <w:rFonts w:eastAsia="Times New Roman"/>
                <w:sz w:val="24"/>
                <w:szCs w:val="24"/>
              </w:rPr>
            </w:pPr>
            <w:r w:rsidRPr="00DF20E0">
              <w:rPr>
                <w:rFonts w:eastAsia="Times New Roman"/>
                <w:sz w:val="24"/>
                <w:szCs w:val="24"/>
              </w:rPr>
              <w:t>Bruģa seguma atjaunošana (ieskaitot grunts sagatavošanu)</w:t>
            </w:r>
          </w:p>
        </w:tc>
        <w:tc>
          <w:tcPr>
            <w:tcW w:w="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DE039" w14:textId="77777777" w:rsidR="00DF20E0" w:rsidRPr="00DF20E0" w:rsidRDefault="00DF20E0" w:rsidP="00DF20E0">
            <w:pPr>
              <w:jc w:val="center"/>
              <w:rPr>
                <w:rFonts w:eastAsia="Times New Roman"/>
                <w:sz w:val="24"/>
                <w:szCs w:val="24"/>
              </w:rPr>
            </w:pPr>
            <w:r w:rsidRPr="00DF20E0">
              <w:rPr>
                <w:rFonts w:eastAsia="Times New Roman"/>
                <w:sz w:val="24"/>
                <w:szCs w:val="24"/>
              </w:rPr>
              <w:t>1 m</w:t>
            </w:r>
            <w:r w:rsidRPr="00DF20E0">
              <w:rPr>
                <w:rFonts w:eastAsia="Times New Roman"/>
                <w:sz w:val="24"/>
                <w:szCs w:val="24"/>
                <w:vertAlign w:val="superscript"/>
              </w:rPr>
              <w:t>2</w:t>
            </w:r>
          </w:p>
        </w:tc>
        <w:tc>
          <w:tcPr>
            <w:tcW w:w="1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8FC84A" w14:textId="77777777" w:rsidR="00DF20E0" w:rsidRPr="00DF20E0" w:rsidRDefault="00DF20E0" w:rsidP="00DF20E0">
            <w:pPr>
              <w:jc w:val="center"/>
              <w:rPr>
                <w:rFonts w:eastAsia="Times New Roman"/>
                <w:sz w:val="24"/>
                <w:szCs w:val="24"/>
              </w:rPr>
            </w:pPr>
          </w:p>
        </w:tc>
      </w:tr>
      <w:tr w:rsidR="00DF20E0" w:rsidRPr="00DF20E0" w14:paraId="6B5881A3" w14:textId="77777777" w:rsidTr="00176E2F">
        <w:trPr>
          <w:trHeight w:val="113"/>
          <w:jc w:val="center"/>
        </w:trPr>
        <w:tc>
          <w:tcPr>
            <w:tcW w:w="2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5E955" w14:textId="77777777" w:rsidR="00DF20E0" w:rsidRPr="00DF20E0" w:rsidRDefault="00DF20E0" w:rsidP="00DF20E0">
            <w:pPr>
              <w:jc w:val="center"/>
              <w:rPr>
                <w:rFonts w:eastAsia="Times New Roman"/>
                <w:sz w:val="24"/>
                <w:szCs w:val="24"/>
              </w:rPr>
            </w:pPr>
            <w:r w:rsidRPr="00DF20E0">
              <w:rPr>
                <w:rFonts w:eastAsia="Times New Roman"/>
                <w:sz w:val="24"/>
                <w:szCs w:val="24"/>
              </w:rPr>
              <w:t>3.</w:t>
            </w:r>
          </w:p>
        </w:tc>
        <w:tc>
          <w:tcPr>
            <w:tcW w:w="30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51C79" w14:textId="77777777" w:rsidR="00DF20E0" w:rsidRPr="00DF20E0" w:rsidRDefault="00DF20E0" w:rsidP="00DF20E0">
            <w:pPr>
              <w:jc w:val="both"/>
              <w:rPr>
                <w:rFonts w:eastAsia="Times New Roman"/>
                <w:sz w:val="24"/>
                <w:szCs w:val="24"/>
              </w:rPr>
            </w:pPr>
            <w:r w:rsidRPr="00DF20E0">
              <w:rPr>
                <w:rFonts w:eastAsia="Times New Roman"/>
                <w:sz w:val="24"/>
                <w:szCs w:val="24"/>
              </w:rPr>
              <w:t>Zālāja atjaunošana (ieskaitot grunts sagatavošanu)</w:t>
            </w:r>
          </w:p>
        </w:tc>
        <w:tc>
          <w:tcPr>
            <w:tcW w:w="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22973" w14:textId="77777777" w:rsidR="00DF20E0" w:rsidRPr="00DF20E0" w:rsidRDefault="00DF20E0" w:rsidP="00DF20E0">
            <w:pPr>
              <w:jc w:val="center"/>
              <w:rPr>
                <w:rFonts w:eastAsia="Times New Roman"/>
                <w:sz w:val="24"/>
                <w:szCs w:val="24"/>
              </w:rPr>
            </w:pPr>
            <w:r w:rsidRPr="00DF20E0">
              <w:rPr>
                <w:rFonts w:eastAsia="Times New Roman"/>
                <w:sz w:val="24"/>
                <w:szCs w:val="24"/>
              </w:rPr>
              <w:t>1 m</w:t>
            </w:r>
            <w:r w:rsidRPr="00DF20E0">
              <w:rPr>
                <w:rFonts w:eastAsia="Times New Roman"/>
                <w:sz w:val="24"/>
                <w:szCs w:val="24"/>
                <w:vertAlign w:val="superscript"/>
              </w:rPr>
              <w:t>2</w:t>
            </w:r>
          </w:p>
        </w:tc>
        <w:tc>
          <w:tcPr>
            <w:tcW w:w="1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ECCBEF" w14:textId="77777777" w:rsidR="00DF20E0" w:rsidRPr="00DF20E0" w:rsidRDefault="00DF20E0" w:rsidP="00DF20E0">
            <w:pPr>
              <w:jc w:val="center"/>
              <w:rPr>
                <w:rFonts w:eastAsia="Times New Roman"/>
                <w:sz w:val="24"/>
                <w:szCs w:val="24"/>
              </w:rPr>
            </w:pPr>
          </w:p>
        </w:tc>
      </w:tr>
      <w:tr w:rsidR="00DF20E0" w:rsidRPr="00DF20E0" w14:paraId="2FFC1C8C" w14:textId="77777777" w:rsidTr="00176E2F">
        <w:tblPrEx>
          <w:jc w:val="right"/>
        </w:tblPrEx>
        <w:trPr>
          <w:trHeight w:val="133"/>
          <w:jc w:val="right"/>
        </w:trPr>
        <w:tc>
          <w:tcPr>
            <w:tcW w:w="3321" w:type="pct"/>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3D72470C" w14:textId="77777777" w:rsidR="00DF20E0" w:rsidRPr="00DF20E0" w:rsidRDefault="00DF20E0" w:rsidP="00DF20E0">
            <w:pPr>
              <w:ind w:right="-789"/>
              <w:jc w:val="right"/>
              <w:rPr>
                <w:rFonts w:eastAsia="Times New Roman"/>
                <w:b/>
                <w:bCs/>
                <w:sz w:val="24"/>
                <w:szCs w:val="24"/>
              </w:rPr>
            </w:pPr>
            <w:r w:rsidRPr="00DF20E0">
              <w:rPr>
                <w:rFonts w:eastAsia="Times New Roman"/>
                <w:b/>
                <w:bCs/>
                <w:sz w:val="24"/>
                <w:szCs w:val="24"/>
              </w:rPr>
              <w:t xml:space="preserve">                                  Kopā (EUR bez PVN)</w:t>
            </w:r>
            <w:r w:rsidRPr="00DF20E0">
              <w:rPr>
                <w:rFonts w:eastAsia="Times New Roman"/>
                <w:b/>
                <w:bCs/>
                <w:sz w:val="24"/>
                <w:szCs w:val="24"/>
              </w:rPr>
              <w:tab/>
            </w:r>
            <w:r w:rsidRPr="00DF20E0">
              <w:rPr>
                <w:rFonts w:eastAsia="Times New Roman"/>
                <w:b/>
                <w:bCs/>
                <w:sz w:val="24"/>
                <w:szCs w:val="24"/>
              </w:rPr>
              <w:tab/>
            </w:r>
          </w:p>
        </w:tc>
        <w:tc>
          <w:tcPr>
            <w:tcW w:w="1679" w:type="pct"/>
            <w:gridSpan w:val="2"/>
            <w:tcBorders>
              <w:top w:val="single" w:sz="4" w:space="0" w:color="000000"/>
              <w:left w:val="single" w:sz="4" w:space="0" w:color="000000"/>
              <w:bottom w:val="single" w:sz="4" w:space="0" w:color="auto"/>
              <w:right w:val="single" w:sz="4" w:space="0" w:color="000000"/>
            </w:tcBorders>
            <w:tcMar>
              <w:top w:w="80" w:type="dxa"/>
              <w:left w:w="256" w:type="dxa"/>
              <w:bottom w:w="80" w:type="dxa"/>
              <w:right w:w="80" w:type="dxa"/>
            </w:tcMar>
          </w:tcPr>
          <w:p w14:paraId="641C6283" w14:textId="77777777" w:rsidR="00DF20E0" w:rsidRPr="00DF20E0" w:rsidRDefault="00DF20E0" w:rsidP="00DF20E0">
            <w:pPr>
              <w:ind w:left="176" w:firstLine="23"/>
              <w:rPr>
                <w:rFonts w:eastAsia="Times New Roman"/>
                <w:sz w:val="24"/>
                <w:szCs w:val="24"/>
              </w:rPr>
            </w:pPr>
          </w:p>
        </w:tc>
      </w:tr>
      <w:tr w:rsidR="00DF20E0" w:rsidRPr="00DF20E0" w14:paraId="41D35A03" w14:textId="77777777" w:rsidTr="00176E2F">
        <w:tblPrEx>
          <w:jc w:val="right"/>
        </w:tblPrEx>
        <w:trPr>
          <w:trHeight w:val="113"/>
          <w:jc w:val="right"/>
        </w:trPr>
        <w:tc>
          <w:tcPr>
            <w:tcW w:w="3321" w:type="pct"/>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5E00258" w14:textId="77777777" w:rsidR="00DF20E0" w:rsidRPr="00DF20E0" w:rsidRDefault="00DF20E0" w:rsidP="00DF20E0">
            <w:pPr>
              <w:jc w:val="right"/>
              <w:rPr>
                <w:rFonts w:eastAsia="Times New Roman"/>
                <w:b/>
                <w:bCs/>
                <w:sz w:val="24"/>
                <w:szCs w:val="24"/>
              </w:rPr>
            </w:pPr>
            <w:r w:rsidRPr="00DF20E0">
              <w:rPr>
                <w:rFonts w:eastAsia="Times New Roman"/>
                <w:b/>
                <w:bCs/>
                <w:sz w:val="24"/>
                <w:szCs w:val="24"/>
              </w:rPr>
              <w:t>PVN 21%</w:t>
            </w:r>
          </w:p>
        </w:tc>
        <w:tc>
          <w:tcPr>
            <w:tcW w:w="1679" w:type="pct"/>
            <w:gridSpan w:val="2"/>
            <w:tcBorders>
              <w:top w:val="single" w:sz="4" w:space="0" w:color="auto"/>
              <w:left w:val="single" w:sz="4" w:space="0" w:color="000000"/>
              <w:bottom w:val="single" w:sz="4" w:space="0" w:color="auto"/>
              <w:right w:val="single" w:sz="4" w:space="0" w:color="000000"/>
            </w:tcBorders>
            <w:tcMar>
              <w:top w:w="80" w:type="dxa"/>
              <w:left w:w="256" w:type="dxa"/>
              <w:bottom w:w="80" w:type="dxa"/>
              <w:right w:w="80" w:type="dxa"/>
            </w:tcMar>
          </w:tcPr>
          <w:p w14:paraId="2DC6E1DB" w14:textId="77777777" w:rsidR="00DF20E0" w:rsidRPr="00DF20E0" w:rsidRDefault="00DF20E0" w:rsidP="00DF20E0">
            <w:pPr>
              <w:ind w:left="176" w:firstLine="23"/>
              <w:rPr>
                <w:rFonts w:eastAsia="Times New Roman"/>
                <w:sz w:val="24"/>
                <w:szCs w:val="24"/>
              </w:rPr>
            </w:pPr>
          </w:p>
        </w:tc>
      </w:tr>
      <w:tr w:rsidR="00DF20E0" w:rsidRPr="00DF20E0" w14:paraId="23B3CEAA" w14:textId="77777777" w:rsidTr="00176E2F">
        <w:tblPrEx>
          <w:jc w:val="right"/>
        </w:tblPrEx>
        <w:trPr>
          <w:trHeight w:val="113"/>
          <w:jc w:val="right"/>
        </w:trPr>
        <w:tc>
          <w:tcPr>
            <w:tcW w:w="3321" w:type="pct"/>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430FB8E" w14:textId="77777777" w:rsidR="00DF20E0" w:rsidRPr="00DF20E0" w:rsidRDefault="00DF20E0" w:rsidP="00DF20E0">
            <w:pPr>
              <w:jc w:val="right"/>
              <w:rPr>
                <w:rFonts w:eastAsia="Times New Roman"/>
                <w:b/>
                <w:bCs/>
                <w:sz w:val="24"/>
                <w:szCs w:val="24"/>
              </w:rPr>
            </w:pPr>
            <w:r w:rsidRPr="00DF20E0">
              <w:rPr>
                <w:rFonts w:eastAsia="Times New Roman"/>
                <w:b/>
                <w:bCs/>
                <w:sz w:val="24"/>
                <w:szCs w:val="24"/>
              </w:rPr>
              <w:t>Pavisam kopā (EUR ar PVN)</w:t>
            </w:r>
          </w:p>
        </w:tc>
        <w:tc>
          <w:tcPr>
            <w:tcW w:w="1679" w:type="pct"/>
            <w:gridSpan w:val="2"/>
            <w:tcBorders>
              <w:top w:val="single" w:sz="4" w:space="0" w:color="auto"/>
              <w:left w:val="single" w:sz="4" w:space="0" w:color="000000"/>
              <w:bottom w:val="single" w:sz="4" w:space="0" w:color="000000"/>
              <w:right w:val="single" w:sz="4" w:space="0" w:color="000000"/>
            </w:tcBorders>
            <w:tcMar>
              <w:top w:w="80" w:type="dxa"/>
              <w:left w:w="256" w:type="dxa"/>
              <w:bottom w:w="80" w:type="dxa"/>
              <w:right w:w="80" w:type="dxa"/>
            </w:tcMar>
          </w:tcPr>
          <w:p w14:paraId="462F67F4" w14:textId="77777777" w:rsidR="00DF20E0" w:rsidRPr="00DF20E0" w:rsidRDefault="00DF20E0" w:rsidP="00DF20E0">
            <w:pPr>
              <w:ind w:left="176" w:firstLine="23"/>
              <w:rPr>
                <w:rFonts w:eastAsia="Times New Roman"/>
                <w:sz w:val="24"/>
                <w:szCs w:val="24"/>
              </w:rPr>
            </w:pPr>
          </w:p>
        </w:tc>
      </w:tr>
    </w:tbl>
    <w:p w14:paraId="440C0D20" w14:textId="77777777" w:rsidR="00DF20E0" w:rsidRPr="00DF20E0" w:rsidRDefault="00DF20E0" w:rsidP="00DF20E0">
      <w:pPr>
        <w:widowControl w:val="0"/>
        <w:spacing w:after="0" w:line="240" w:lineRule="auto"/>
        <w:jc w:val="center"/>
        <w:rPr>
          <w:rFonts w:ascii="Times New Roman" w:eastAsia="Times New Roman" w:hAnsi="Times New Roman" w:cs="Times New Roman"/>
          <w:b/>
          <w:bCs/>
          <w:kern w:val="0"/>
          <w:sz w:val="24"/>
          <w:szCs w:val="24"/>
          <w:lang w:eastAsia="lv-LV"/>
          <w14:ligatures w14:val="none"/>
        </w:rPr>
      </w:pPr>
    </w:p>
    <w:p w14:paraId="1D605566" w14:textId="77777777" w:rsidR="00DF20E0" w:rsidRPr="00DF20E0" w:rsidRDefault="00DF20E0" w:rsidP="00DF20E0">
      <w:pPr>
        <w:spacing w:after="0" w:line="240" w:lineRule="auto"/>
        <w:jc w:val="center"/>
        <w:rPr>
          <w:rFonts w:ascii="Times New Roman" w:eastAsia="Times New Roman" w:hAnsi="Times New Roman" w:cs="Times New Roman"/>
          <w:b/>
          <w:bCs/>
          <w:kern w:val="0"/>
          <w:sz w:val="24"/>
          <w:szCs w:val="24"/>
          <w:lang w:eastAsia="lv-LV"/>
          <w14:ligatures w14:val="none"/>
        </w:rPr>
      </w:pPr>
      <w:r w:rsidRPr="00DF20E0">
        <w:rPr>
          <w:rFonts w:ascii="Times New Roman" w:eastAsia="Times New Roman" w:hAnsi="Times New Roman" w:cs="Times New Roman"/>
          <w:b/>
          <w:bCs/>
          <w:kern w:val="0"/>
          <w:sz w:val="24"/>
          <w:szCs w:val="24"/>
          <w:lang w:eastAsia="lv-LV"/>
          <w14:ligatures w14:val="none"/>
        </w:rPr>
        <w:t>4. tabula “Nestandarta darbi”</w:t>
      </w:r>
    </w:p>
    <w:tbl>
      <w:tblPr>
        <w:tblStyle w:val="TableNormal12"/>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483"/>
        <w:gridCol w:w="5931"/>
        <w:gridCol w:w="1315"/>
        <w:gridCol w:w="1899"/>
      </w:tblGrid>
      <w:tr w:rsidR="00DF20E0" w:rsidRPr="00DF20E0" w14:paraId="12011F41" w14:textId="77777777" w:rsidTr="00176E2F">
        <w:trPr>
          <w:trHeight w:val="113"/>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8FC8E" w14:textId="77777777" w:rsidR="00DF20E0" w:rsidRPr="00DF20E0" w:rsidRDefault="00DF20E0" w:rsidP="00DF20E0">
            <w:pPr>
              <w:rPr>
                <w:rFonts w:eastAsia="Times New Roman"/>
                <w:b/>
                <w:bCs/>
              </w:rPr>
            </w:pPr>
            <w:r w:rsidRPr="00DF20E0">
              <w:rPr>
                <w:rFonts w:eastAsia="Times New Roman"/>
                <w:b/>
                <w:bCs/>
              </w:rPr>
              <w:t>Nr.</w:t>
            </w:r>
          </w:p>
          <w:p w14:paraId="3ABD868A" w14:textId="77777777" w:rsidR="00DF20E0" w:rsidRPr="00DF20E0" w:rsidRDefault="00DF20E0" w:rsidP="00DF20E0">
            <w:pPr>
              <w:jc w:val="right"/>
              <w:rPr>
                <w:rFonts w:eastAsia="Times New Roman"/>
              </w:rPr>
            </w:pPr>
            <w:r w:rsidRPr="00DF20E0">
              <w:rPr>
                <w:rFonts w:eastAsia="Times New Roman"/>
                <w:b/>
                <w:bCs/>
              </w:rPr>
              <w:t>p.k.</w:t>
            </w:r>
          </w:p>
        </w:tc>
        <w:tc>
          <w:tcPr>
            <w:tcW w:w="6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DF2365" w14:textId="77777777" w:rsidR="00DF20E0" w:rsidRPr="00DF20E0" w:rsidRDefault="00DF20E0" w:rsidP="00DF20E0">
            <w:pPr>
              <w:jc w:val="center"/>
              <w:rPr>
                <w:rFonts w:eastAsia="Times New Roman"/>
              </w:rPr>
            </w:pPr>
            <w:r w:rsidRPr="00DF20E0">
              <w:rPr>
                <w:rFonts w:eastAsia="Times New Roman"/>
                <w:b/>
                <w:bCs/>
              </w:rPr>
              <w:t>Darbu veids</w:t>
            </w:r>
          </w:p>
        </w:tc>
        <w:tc>
          <w:tcPr>
            <w:tcW w:w="13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5D8333" w14:textId="77777777" w:rsidR="00DF20E0" w:rsidRPr="00DF20E0" w:rsidRDefault="00DF20E0" w:rsidP="00DF20E0">
            <w:pPr>
              <w:jc w:val="center"/>
              <w:rPr>
                <w:rFonts w:eastAsia="Times New Roman"/>
              </w:rPr>
            </w:pPr>
            <w:r w:rsidRPr="00DF20E0">
              <w:rPr>
                <w:rFonts w:eastAsia="Times New Roman"/>
                <w:b/>
                <w:bCs/>
              </w:rPr>
              <w:t>Vienība</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7F2D7F" w14:textId="77777777" w:rsidR="00DF20E0" w:rsidRPr="00DF20E0" w:rsidRDefault="00DF20E0" w:rsidP="00DF20E0">
            <w:pPr>
              <w:jc w:val="center"/>
              <w:rPr>
                <w:rFonts w:eastAsia="Times New Roman"/>
              </w:rPr>
            </w:pPr>
            <w:r w:rsidRPr="00DF20E0">
              <w:rPr>
                <w:rFonts w:eastAsia="Times New Roman"/>
                <w:b/>
                <w:bCs/>
              </w:rPr>
              <w:t>Cena EUR, bez PVN</w:t>
            </w:r>
          </w:p>
        </w:tc>
      </w:tr>
      <w:tr w:rsidR="00DF20E0" w:rsidRPr="00DF20E0" w14:paraId="5BEE7311" w14:textId="77777777" w:rsidTr="00176E2F">
        <w:trPr>
          <w:trHeight w:val="113"/>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8CA58" w14:textId="77777777" w:rsidR="00DF20E0" w:rsidRPr="00DF20E0" w:rsidRDefault="00DF20E0" w:rsidP="00DF20E0">
            <w:pPr>
              <w:jc w:val="center"/>
              <w:rPr>
                <w:rFonts w:eastAsia="Times New Roman"/>
                <w:sz w:val="24"/>
                <w:szCs w:val="24"/>
              </w:rPr>
            </w:pPr>
            <w:r w:rsidRPr="00DF20E0">
              <w:rPr>
                <w:rFonts w:eastAsia="Times New Roman"/>
                <w:sz w:val="24"/>
                <w:szCs w:val="24"/>
              </w:rPr>
              <w:lastRenderedPageBreak/>
              <w:t>1.</w:t>
            </w:r>
          </w:p>
        </w:tc>
        <w:tc>
          <w:tcPr>
            <w:tcW w:w="6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7619E" w14:textId="77777777" w:rsidR="00DF20E0" w:rsidRPr="00DF20E0" w:rsidRDefault="00DF20E0" w:rsidP="00DF20E0">
            <w:pPr>
              <w:jc w:val="both"/>
              <w:rPr>
                <w:rFonts w:eastAsia="Times New Roman"/>
                <w:sz w:val="24"/>
                <w:szCs w:val="24"/>
              </w:rPr>
            </w:pPr>
            <w:r w:rsidRPr="00DF20E0">
              <w:rPr>
                <w:rFonts w:eastAsia="Times New Roman"/>
                <w:sz w:val="24"/>
                <w:szCs w:val="24"/>
              </w:rPr>
              <w:t>Ārkārtas gadījumu un neparedzēto bojājumu likvidēšana nekavējoties (laikā posmā no plkst. 8.00 līdz plkst. 20.00), t.sk. brīvdienās un svētku dienās</w:t>
            </w:r>
          </w:p>
        </w:tc>
        <w:tc>
          <w:tcPr>
            <w:tcW w:w="13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8C776" w14:textId="77777777" w:rsidR="00DF20E0" w:rsidRPr="00DF20E0" w:rsidRDefault="00DF20E0" w:rsidP="00DF20E0">
            <w:pPr>
              <w:jc w:val="center"/>
              <w:rPr>
                <w:rFonts w:eastAsia="Times New Roman"/>
                <w:sz w:val="24"/>
                <w:szCs w:val="24"/>
              </w:rPr>
            </w:pPr>
            <w:r w:rsidRPr="00DF20E0">
              <w:rPr>
                <w:rFonts w:eastAsia="Times New Roman"/>
                <w:sz w:val="24"/>
                <w:szCs w:val="24"/>
              </w:rPr>
              <w:t>1 h</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D8C446" w14:textId="77777777" w:rsidR="00DF20E0" w:rsidRPr="00DF20E0" w:rsidRDefault="00DF20E0" w:rsidP="00DF20E0">
            <w:pPr>
              <w:jc w:val="center"/>
              <w:rPr>
                <w:rFonts w:eastAsia="Times New Roman"/>
                <w:sz w:val="24"/>
                <w:szCs w:val="24"/>
              </w:rPr>
            </w:pPr>
          </w:p>
        </w:tc>
      </w:tr>
      <w:tr w:rsidR="00DF20E0" w:rsidRPr="00DF20E0" w14:paraId="7C59251A" w14:textId="77777777" w:rsidTr="00176E2F">
        <w:trPr>
          <w:trHeight w:val="113"/>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C13182" w14:textId="77777777" w:rsidR="00DF20E0" w:rsidRPr="00DF20E0" w:rsidRDefault="00DF20E0" w:rsidP="00DF20E0">
            <w:pPr>
              <w:jc w:val="center"/>
              <w:rPr>
                <w:rFonts w:eastAsia="Times New Roman"/>
                <w:sz w:val="24"/>
                <w:szCs w:val="24"/>
              </w:rPr>
            </w:pPr>
            <w:r w:rsidRPr="00DF20E0">
              <w:rPr>
                <w:rFonts w:eastAsia="Times New Roman"/>
                <w:sz w:val="24"/>
                <w:szCs w:val="24"/>
              </w:rPr>
              <w:t>2.</w:t>
            </w:r>
          </w:p>
        </w:tc>
        <w:tc>
          <w:tcPr>
            <w:tcW w:w="6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53C5E" w14:textId="77777777" w:rsidR="00DF20E0" w:rsidRPr="00DF20E0" w:rsidRDefault="00DF20E0" w:rsidP="00DF20E0">
            <w:pPr>
              <w:jc w:val="both"/>
              <w:rPr>
                <w:rFonts w:eastAsia="Times New Roman"/>
                <w:sz w:val="24"/>
                <w:szCs w:val="24"/>
              </w:rPr>
            </w:pPr>
            <w:r w:rsidRPr="00DF20E0">
              <w:rPr>
                <w:rFonts w:eastAsia="Times New Roman"/>
                <w:sz w:val="24"/>
                <w:szCs w:val="24"/>
              </w:rPr>
              <w:t>Ārkārtas gadījumu un neparedzēto bojājumu likvidēšana nekavējoties (laikā posmā no plkst. 20.00 līdz plkst. 8.00), t.sk. brīvdienās un svētku dienās</w:t>
            </w:r>
          </w:p>
        </w:tc>
        <w:tc>
          <w:tcPr>
            <w:tcW w:w="13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9AA74" w14:textId="77777777" w:rsidR="00DF20E0" w:rsidRPr="00DF20E0" w:rsidRDefault="00DF20E0" w:rsidP="00DF20E0">
            <w:pPr>
              <w:jc w:val="center"/>
              <w:rPr>
                <w:rFonts w:eastAsia="Times New Roman"/>
                <w:sz w:val="24"/>
                <w:szCs w:val="24"/>
              </w:rPr>
            </w:pPr>
            <w:r w:rsidRPr="00DF20E0">
              <w:rPr>
                <w:rFonts w:eastAsia="Times New Roman"/>
                <w:sz w:val="24"/>
                <w:szCs w:val="24"/>
              </w:rPr>
              <w:t>1 h</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D08D8" w14:textId="77777777" w:rsidR="00DF20E0" w:rsidRPr="00DF20E0" w:rsidRDefault="00DF20E0" w:rsidP="00DF20E0">
            <w:pPr>
              <w:jc w:val="center"/>
              <w:rPr>
                <w:rFonts w:eastAsia="Times New Roman"/>
                <w:sz w:val="24"/>
                <w:szCs w:val="24"/>
              </w:rPr>
            </w:pPr>
          </w:p>
        </w:tc>
      </w:tr>
      <w:tr w:rsidR="00DF20E0" w:rsidRPr="00DF20E0" w14:paraId="17E994BB" w14:textId="77777777" w:rsidTr="00176E2F">
        <w:trPr>
          <w:trHeight w:val="113"/>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14019" w14:textId="77777777" w:rsidR="00DF20E0" w:rsidRPr="00DF20E0" w:rsidRDefault="00DF20E0" w:rsidP="00DF20E0">
            <w:pPr>
              <w:jc w:val="center"/>
              <w:rPr>
                <w:rFonts w:eastAsia="Times New Roman"/>
                <w:sz w:val="24"/>
                <w:szCs w:val="24"/>
              </w:rPr>
            </w:pPr>
            <w:r w:rsidRPr="00DF20E0">
              <w:rPr>
                <w:rFonts w:eastAsia="Times New Roman"/>
                <w:sz w:val="24"/>
                <w:szCs w:val="24"/>
              </w:rPr>
              <w:t>3.</w:t>
            </w:r>
          </w:p>
        </w:tc>
        <w:tc>
          <w:tcPr>
            <w:tcW w:w="6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4B70D" w14:textId="77777777" w:rsidR="00DF20E0" w:rsidRPr="00DF20E0" w:rsidRDefault="00DF20E0" w:rsidP="00DF20E0">
            <w:pPr>
              <w:jc w:val="both"/>
              <w:rPr>
                <w:rFonts w:eastAsia="Times New Roman"/>
                <w:sz w:val="24"/>
                <w:szCs w:val="24"/>
              </w:rPr>
            </w:pPr>
            <w:r w:rsidRPr="00DF20E0">
              <w:rPr>
                <w:rFonts w:eastAsia="Times New Roman"/>
                <w:sz w:val="24"/>
                <w:szCs w:val="24"/>
              </w:rPr>
              <w:t>Demontēta afišu staba uzglabāšana noliktavā</w:t>
            </w:r>
          </w:p>
        </w:tc>
        <w:tc>
          <w:tcPr>
            <w:tcW w:w="13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F61DE" w14:textId="77777777" w:rsidR="00DF20E0" w:rsidRPr="00DF20E0" w:rsidRDefault="00DF20E0" w:rsidP="00DF20E0">
            <w:pPr>
              <w:jc w:val="center"/>
              <w:rPr>
                <w:rFonts w:eastAsia="Times New Roman"/>
                <w:sz w:val="24"/>
                <w:szCs w:val="24"/>
              </w:rPr>
            </w:pPr>
            <w:r w:rsidRPr="00DF20E0">
              <w:rPr>
                <w:rFonts w:eastAsia="Times New Roman"/>
                <w:sz w:val="24"/>
                <w:szCs w:val="24"/>
              </w:rPr>
              <w:t>1 mēnesis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A3AAC" w14:textId="77777777" w:rsidR="00DF20E0" w:rsidRPr="00DF20E0" w:rsidRDefault="00DF20E0" w:rsidP="00DF20E0">
            <w:pPr>
              <w:jc w:val="center"/>
              <w:rPr>
                <w:rFonts w:eastAsia="Times New Roman"/>
                <w:sz w:val="24"/>
                <w:szCs w:val="24"/>
              </w:rPr>
            </w:pPr>
          </w:p>
        </w:tc>
      </w:tr>
      <w:tr w:rsidR="00DF20E0" w:rsidRPr="00DF20E0" w14:paraId="28B7CF48" w14:textId="77777777" w:rsidTr="00176E2F">
        <w:tblPrEx>
          <w:jc w:val="right"/>
        </w:tblPrEx>
        <w:trPr>
          <w:trHeight w:val="113"/>
          <w:jc w:val="right"/>
        </w:trPr>
        <w:tc>
          <w:tcPr>
            <w:tcW w:w="6516" w:type="dxa"/>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76FB7EE8" w14:textId="77777777" w:rsidR="00DF20E0" w:rsidRPr="00DF20E0" w:rsidRDefault="00DF20E0" w:rsidP="00DF20E0">
            <w:pPr>
              <w:ind w:right="-789"/>
              <w:jc w:val="right"/>
              <w:rPr>
                <w:rFonts w:eastAsia="Times New Roman"/>
                <w:b/>
                <w:bCs/>
                <w:sz w:val="24"/>
                <w:szCs w:val="24"/>
              </w:rPr>
            </w:pPr>
            <w:r w:rsidRPr="00DF20E0">
              <w:rPr>
                <w:rFonts w:eastAsia="Times New Roman"/>
                <w:b/>
                <w:bCs/>
                <w:sz w:val="24"/>
                <w:szCs w:val="24"/>
              </w:rPr>
              <w:t xml:space="preserve">                                  Kopā (EUR bez PVN)</w:t>
            </w:r>
            <w:r w:rsidRPr="00DF20E0">
              <w:rPr>
                <w:rFonts w:eastAsia="Times New Roman"/>
                <w:b/>
                <w:bCs/>
                <w:sz w:val="24"/>
                <w:szCs w:val="24"/>
              </w:rPr>
              <w:tab/>
            </w:r>
            <w:r w:rsidRPr="00DF20E0">
              <w:rPr>
                <w:rFonts w:eastAsia="Times New Roman"/>
                <w:b/>
                <w:bCs/>
                <w:sz w:val="24"/>
                <w:szCs w:val="24"/>
              </w:rPr>
              <w:tab/>
            </w:r>
          </w:p>
        </w:tc>
        <w:tc>
          <w:tcPr>
            <w:tcW w:w="3113" w:type="dxa"/>
            <w:gridSpan w:val="2"/>
            <w:tcBorders>
              <w:top w:val="single" w:sz="4" w:space="0" w:color="000000"/>
              <w:left w:val="single" w:sz="4" w:space="0" w:color="000000"/>
              <w:bottom w:val="single" w:sz="4" w:space="0" w:color="auto"/>
              <w:right w:val="single" w:sz="4" w:space="0" w:color="000000"/>
            </w:tcBorders>
            <w:tcMar>
              <w:top w:w="80" w:type="dxa"/>
              <w:left w:w="256" w:type="dxa"/>
              <w:bottom w:w="80" w:type="dxa"/>
              <w:right w:w="80" w:type="dxa"/>
            </w:tcMar>
          </w:tcPr>
          <w:p w14:paraId="2940743B" w14:textId="77777777" w:rsidR="00DF20E0" w:rsidRPr="00DF20E0" w:rsidRDefault="00DF20E0" w:rsidP="00DF20E0">
            <w:pPr>
              <w:ind w:left="176" w:firstLine="23"/>
              <w:rPr>
                <w:rFonts w:eastAsia="Times New Roman"/>
                <w:sz w:val="24"/>
                <w:szCs w:val="24"/>
              </w:rPr>
            </w:pPr>
          </w:p>
        </w:tc>
      </w:tr>
      <w:tr w:rsidR="00DF20E0" w:rsidRPr="00DF20E0" w14:paraId="493C05BF" w14:textId="77777777" w:rsidTr="00176E2F">
        <w:tblPrEx>
          <w:jc w:val="right"/>
        </w:tblPrEx>
        <w:trPr>
          <w:trHeight w:val="113"/>
          <w:jc w:val="right"/>
        </w:trPr>
        <w:tc>
          <w:tcPr>
            <w:tcW w:w="6516"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E97BA73" w14:textId="77777777" w:rsidR="00DF20E0" w:rsidRPr="00DF20E0" w:rsidRDefault="00DF20E0" w:rsidP="00DF20E0">
            <w:pPr>
              <w:jc w:val="right"/>
              <w:rPr>
                <w:rFonts w:eastAsia="Times New Roman"/>
                <w:b/>
                <w:bCs/>
                <w:sz w:val="24"/>
                <w:szCs w:val="24"/>
              </w:rPr>
            </w:pPr>
            <w:r w:rsidRPr="00DF20E0">
              <w:rPr>
                <w:rFonts w:eastAsia="Times New Roman"/>
                <w:b/>
                <w:bCs/>
                <w:sz w:val="24"/>
                <w:szCs w:val="24"/>
              </w:rPr>
              <w:t>PVN 21%</w:t>
            </w:r>
          </w:p>
        </w:tc>
        <w:tc>
          <w:tcPr>
            <w:tcW w:w="3113" w:type="dxa"/>
            <w:gridSpan w:val="2"/>
            <w:tcBorders>
              <w:top w:val="single" w:sz="4" w:space="0" w:color="auto"/>
              <w:left w:val="single" w:sz="4" w:space="0" w:color="000000"/>
              <w:bottom w:val="single" w:sz="4" w:space="0" w:color="auto"/>
              <w:right w:val="single" w:sz="4" w:space="0" w:color="000000"/>
            </w:tcBorders>
            <w:tcMar>
              <w:top w:w="80" w:type="dxa"/>
              <w:left w:w="256" w:type="dxa"/>
              <w:bottom w:w="80" w:type="dxa"/>
              <w:right w:w="80" w:type="dxa"/>
            </w:tcMar>
          </w:tcPr>
          <w:p w14:paraId="0DD89796" w14:textId="77777777" w:rsidR="00DF20E0" w:rsidRPr="00DF20E0" w:rsidRDefault="00DF20E0" w:rsidP="00DF20E0">
            <w:pPr>
              <w:ind w:left="176" w:firstLine="23"/>
              <w:rPr>
                <w:rFonts w:eastAsia="Times New Roman"/>
                <w:sz w:val="24"/>
                <w:szCs w:val="24"/>
              </w:rPr>
            </w:pPr>
          </w:p>
        </w:tc>
      </w:tr>
      <w:tr w:rsidR="00DF20E0" w:rsidRPr="00DF20E0" w14:paraId="21F1AFBA" w14:textId="77777777" w:rsidTr="00176E2F">
        <w:tblPrEx>
          <w:jc w:val="right"/>
        </w:tblPrEx>
        <w:trPr>
          <w:trHeight w:val="113"/>
          <w:jc w:val="right"/>
        </w:trPr>
        <w:tc>
          <w:tcPr>
            <w:tcW w:w="6516" w:type="dxa"/>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1EB54954" w14:textId="77777777" w:rsidR="00DF20E0" w:rsidRPr="00DF20E0" w:rsidRDefault="00DF20E0" w:rsidP="00DF20E0">
            <w:pPr>
              <w:jc w:val="right"/>
              <w:rPr>
                <w:rFonts w:eastAsia="Times New Roman"/>
                <w:b/>
                <w:bCs/>
                <w:sz w:val="24"/>
                <w:szCs w:val="24"/>
              </w:rPr>
            </w:pPr>
            <w:r w:rsidRPr="00DF20E0">
              <w:rPr>
                <w:rFonts w:eastAsia="Times New Roman"/>
                <w:b/>
                <w:bCs/>
                <w:sz w:val="24"/>
                <w:szCs w:val="24"/>
              </w:rPr>
              <w:t>Pavisam kopā (EUR ar PVN)</w:t>
            </w:r>
          </w:p>
        </w:tc>
        <w:tc>
          <w:tcPr>
            <w:tcW w:w="3113" w:type="dxa"/>
            <w:gridSpan w:val="2"/>
            <w:tcBorders>
              <w:top w:val="single" w:sz="4" w:space="0" w:color="auto"/>
              <w:left w:val="single" w:sz="4" w:space="0" w:color="000000"/>
              <w:bottom w:val="single" w:sz="4" w:space="0" w:color="000000"/>
              <w:right w:val="single" w:sz="4" w:space="0" w:color="000000"/>
            </w:tcBorders>
            <w:tcMar>
              <w:top w:w="80" w:type="dxa"/>
              <w:left w:w="256" w:type="dxa"/>
              <w:bottom w:w="80" w:type="dxa"/>
              <w:right w:w="80" w:type="dxa"/>
            </w:tcMar>
          </w:tcPr>
          <w:p w14:paraId="2BCAE64C" w14:textId="77777777" w:rsidR="00DF20E0" w:rsidRPr="00DF20E0" w:rsidRDefault="00DF20E0" w:rsidP="00DF20E0">
            <w:pPr>
              <w:ind w:left="176" w:firstLine="23"/>
              <w:rPr>
                <w:rFonts w:eastAsia="Times New Roman"/>
                <w:sz w:val="24"/>
                <w:szCs w:val="24"/>
              </w:rPr>
            </w:pPr>
          </w:p>
        </w:tc>
      </w:tr>
    </w:tbl>
    <w:p w14:paraId="4FEF3C4D" w14:textId="77777777" w:rsidR="00DF20E0" w:rsidRPr="00DF20E0" w:rsidRDefault="00DF20E0" w:rsidP="00DF20E0">
      <w:pPr>
        <w:widowControl w:val="0"/>
        <w:spacing w:after="0" w:line="240" w:lineRule="auto"/>
        <w:rPr>
          <w:rFonts w:ascii="Times New Roman" w:eastAsia="Times New Roman" w:hAnsi="Times New Roman" w:cs="Times New Roman"/>
          <w:kern w:val="0"/>
          <w:sz w:val="24"/>
          <w:szCs w:val="24"/>
          <w:lang w:eastAsia="lv-LV"/>
          <w14:ligatures w14:val="none"/>
        </w:rPr>
      </w:pPr>
    </w:p>
    <w:p w14:paraId="27E925A0" w14:textId="77777777" w:rsidR="00DF20E0" w:rsidRPr="00DF20E0" w:rsidRDefault="00DF20E0" w:rsidP="00DF20E0">
      <w:pPr>
        <w:widowControl w:val="0"/>
        <w:spacing w:after="0" w:line="240" w:lineRule="auto"/>
        <w:rPr>
          <w:rFonts w:ascii="Times New Roman" w:eastAsia="Times New Roman" w:hAnsi="Times New Roman" w:cs="Times New Roman"/>
          <w:kern w:val="0"/>
          <w:sz w:val="24"/>
          <w:szCs w:val="24"/>
          <w:lang w:eastAsia="lv-LV"/>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7"/>
        <w:gridCol w:w="2461"/>
      </w:tblGrid>
      <w:tr w:rsidR="00DF20E0" w:rsidRPr="00DF20E0" w14:paraId="32FB0F16" w14:textId="77777777" w:rsidTr="00176E2F">
        <w:trPr>
          <w:trHeight w:val="325"/>
        </w:trPr>
        <w:tc>
          <w:tcPr>
            <w:tcW w:w="3722" w:type="pct"/>
            <w:tcBorders>
              <w:top w:val="single" w:sz="4" w:space="0" w:color="000000"/>
              <w:left w:val="single" w:sz="4" w:space="0" w:color="000000"/>
              <w:bottom w:val="single" w:sz="4" w:space="0" w:color="auto"/>
              <w:right w:val="single" w:sz="4" w:space="0" w:color="000000"/>
            </w:tcBorders>
            <w:hideMark/>
          </w:tcPr>
          <w:p w14:paraId="365521D3" w14:textId="77777777" w:rsidR="00DF20E0" w:rsidRPr="00DF20E0" w:rsidRDefault="00DF20E0" w:rsidP="00DF20E0">
            <w:pPr>
              <w:spacing w:after="0" w:line="240" w:lineRule="auto"/>
              <w:ind w:right="-874"/>
              <w:rPr>
                <w:rFonts w:ascii="Times New Roman" w:eastAsia="Times New Roman" w:hAnsi="Times New Roman" w:cs="Times New Roman"/>
                <w:b/>
                <w:kern w:val="0"/>
                <w:sz w:val="24"/>
                <w:szCs w:val="24"/>
                <w14:ligatures w14:val="none"/>
              </w:rPr>
            </w:pPr>
            <w:r w:rsidRPr="00DF20E0">
              <w:rPr>
                <w:rFonts w:ascii="Times New Roman" w:eastAsia="Times New Roman" w:hAnsi="Times New Roman" w:cs="Times New Roman"/>
                <w:b/>
                <w:kern w:val="0"/>
                <w:sz w:val="24"/>
                <w:szCs w:val="24"/>
                <w14:ligatures w14:val="none"/>
              </w:rPr>
              <w:t xml:space="preserve"> </w:t>
            </w:r>
            <w:bookmarkStart w:id="1" w:name="_Hlk125486428"/>
            <w:r w:rsidRPr="00DF20E0">
              <w:rPr>
                <w:rFonts w:ascii="Times New Roman" w:eastAsia="Times New Roman" w:hAnsi="Times New Roman" w:cs="Times New Roman"/>
                <w:b/>
                <w:kern w:val="0"/>
                <w:sz w:val="24"/>
                <w:szCs w:val="24"/>
                <w14:ligatures w14:val="none"/>
              </w:rPr>
              <w:t>KOPĒJĀ SUMMA (EUR bez PVN)   (1.</w:t>
            </w:r>
            <w:r w:rsidRPr="00DF20E0">
              <w:rPr>
                <w:rFonts w:ascii="Times New Roman" w:eastAsia="Times New Roman" w:hAnsi="Times New Roman" w:cs="Times New Roman"/>
                <w:kern w:val="0"/>
                <w:sz w:val="24"/>
                <w:szCs w:val="24"/>
                <w14:ligatures w14:val="none"/>
              </w:rPr>
              <w:t>–</w:t>
            </w:r>
            <w:r w:rsidRPr="00DF20E0">
              <w:rPr>
                <w:rFonts w:ascii="Times New Roman" w:eastAsia="Times New Roman" w:hAnsi="Times New Roman" w:cs="Times New Roman"/>
                <w:b/>
                <w:kern w:val="0"/>
                <w:sz w:val="24"/>
                <w:szCs w:val="24"/>
                <w14:ligatures w14:val="none"/>
              </w:rPr>
              <w:t>4. tabula)</w:t>
            </w:r>
            <w:bookmarkEnd w:id="1"/>
          </w:p>
        </w:tc>
        <w:tc>
          <w:tcPr>
            <w:tcW w:w="1278" w:type="pct"/>
            <w:tcBorders>
              <w:top w:val="single" w:sz="4" w:space="0" w:color="000000"/>
              <w:left w:val="single" w:sz="4" w:space="0" w:color="000000"/>
              <w:bottom w:val="single" w:sz="4" w:space="0" w:color="auto"/>
              <w:right w:val="single" w:sz="4" w:space="0" w:color="000000"/>
            </w:tcBorders>
          </w:tcPr>
          <w:p w14:paraId="7AFF660E" w14:textId="77777777" w:rsidR="00DF20E0" w:rsidRPr="00DF20E0" w:rsidRDefault="00DF20E0" w:rsidP="00DF20E0">
            <w:pPr>
              <w:spacing w:after="0" w:line="240" w:lineRule="auto"/>
              <w:jc w:val="center"/>
              <w:rPr>
                <w:rFonts w:ascii="Times New Roman" w:eastAsia="Times New Roman" w:hAnsi="Times New Roman" w:cs="Times New Roman"/>
                <w:b/>
                <w:bCs/>
                <w:kern w:val="0"/>
                <w:sz w:val="24"/>
                <w:szCs w:val="24"/>
                <w14:ligatures w14:val="none"/>
              </w:rPr>
            </w:pPr>
          </w:p>
        </w:tc>
      </w:tr>
      <w:tr w:rsidR="00DF20E0" w:rsidRPr="00DF20E0" w14:paraId="3C7B9E8D" w14:textId="77777777" w:rsidTr="00176E2F">
        <w:trPr>
          <w:trHeight w:val="325"/>
        </w:trPr>
        <w:tc>
          <w:tcPr>
            <w:tcW w:w="3722" w:type="pct"/>
            <w:tcBorders>
              <w:top w:val="single" w:sz="4" w:space="0" w:color="auto"/>
              <w:left w:val="single" w:sz="4" w:space="0" w:color="auto"/>
              <w:bottom w:val="single" w:sz="4" w:space="0" w:color="auto"/>
              <w:right w:val="single" w:sz="4" w:space="0" w:color="auto"/>
            </w:tcBorders>
            <w:hideMark/>
          </w:tcPr>
          <w:p w14:paraId="647E9D53" w14:textId="77777777" w:rsidR="00DF20E0" w:rsidRPr="00DF20E0" w:rsidRDefault="00DF20E0" w:rsidP="00DF20E0">
            <w:pPr>
              <w:spacing w:after="0" w:line="240" w:lineRule="auto"/>
              <w:ind w:right="-874"/>
              <w:jc w:val="center"/>
              <w:rPr>
                <w:rFonts w:ascii="Times New Roman" w:eastAsia="Times New Roman" w:hAnsi="Times New Roman" w:cs="Times New Roman"/>
                <w:b/>
                <w:kern w:val="0"/>
                <w:sz w:val="24"/>
                <w:szCs w:val="24"/>
                <w14:ligatures w14:val="none"/>
              </w:rPr>
            </w:pPr>
            <w:r w:rsidRPr="00DF20E0">
              <w:rPr>
                <w:rFonts w:ascii="Times New Roman" w:eastAsia="Times New Roman" w:hAnsi="Times New Roman" w:cs="Times New Roman"/>
                <w:b/>
                <w:kern w:val="0"/>
                <w:sz w:val="24"/>
                <w:szCs w:val="24"/>
                <w14:ligatures w14:val="none"/>
              </w:rPr>
              <w:t>PVN 21% ) (1.–4. tabula)</w:t>
            </w:r>
          </w:p>
        </w:tc>
        <w:tc>
          <w:tcPr>
            <w:tcW w:w="1278" w:type="pct"/>
            <w:tcBorders>
              <w:top w:val="single" w:sz="4" w:space="0" w:color="auto"/>
              <w:left w:val="single" w:sz="4" w:space="0" w:color="auto"/>
              <w:bottom w:val="single" w:sz="4" w:space="0" w:color="auto"/>
              <w:right w:val="single" w:sz="4" w:space="0" w:color="auto"/>
            </w:tcBorders>
          </w:tcPr>
          <w:p w14:paraId="68666D4A" w14:textId="77777777" w:rsidR="00DF20E0" w:rsidRPr="00DF20E0" w:rsidRDefault="00DF20E0" w:rsidP="00DF20E0">
            <w:pPr>
              <w:spacing w:after="0" w:line="240" w:lineRule="auto"/>
              <w:jc w:val="center"/>
              <w:rPr>
                <w:rFonts w:ascii="Times New Roman" w:eastAsia="Times New Roman" w:hAnsi="Times New Roman" w:cs="Times New Roman"/>
                <w:kern w:val="0"/>
                <w:sz w:val="24"/>
                <w:szCs w:val="24"/>
                <w14:ligatures w14:val="none"/>
              </w:rPr>
            </w:pPr>
          </w:p>
        </w:tc>
      </w:tr>
      <w:tr w:rsidR="00DF20E0" w:rsidRPr="00DF20E0" w14:paraId="4C898CA8" w14:textId="77777777" w:rsidTr="00176E2F">
        <w:trPr>
          <w:trHeight w:val="325"/>
        </w:trPr>
        <w:tc>
          <w:tcPr>
            <w:tcW w:w="3722" w:type="pct"/>
            <w:tcBorders>
              <w:top w:val="single" w:sz="4" w:space="0" w:color="auto"/>
              <w:left w:val="single" w:sz="4" w:space="0" w:color="auto"/>
              <w:bottom w:val="single" w:sz="4" w:space="0" w:color="auto"/>
              <w:right w:val="single" w:sz="4" w:space="0" w:color="auto"/>
            </w:tcBorders>
            <w:hideMark/>
          </w:tcPr>
          <w:p w14:paraId="6D7E6BED" w14:textId="77777777" w:rsidR="00DF20E0" w:rsidRPr="00DF20E0" w:rsidRDefault="00DF20E0" w:rsidP="00DF20E0">
            <w:pPr>
              <w:spacing w:after="0" w:line="240" w:lineRule="auto"/>
              <w:ind w:right="-874"/>
              <w:rPr>
                <w:rFonts w:ascii="Times New Roman" w:eastAsia="Times New Roman" w:hAnsi="Times New Roman" w:cs="Times New Roman"/>
                <w:b/>
                <w:kern w:val="0"/>
                <w:sz w:val="24"/>
                <w:szCs w:val="24"/>
                <w14:ligatures w14:val="none"/>
              </w:rPr>
            </w:pPr>
            <w:r w:rsidRPr="00DF20E0">
              <w:rPr>
                <w:rFonts w:ascii="Times New Roman" w:eastAsia="Times New Roman" w:hAnsi="Times New Roman" w:cs="Times New Roman"/>
                <w:b/>
                <w:kern w:val="0"/>
                <w:sz w:val="24"/>
                <w:szCs w:val="24"/>
                <w14:ligatures w14:val="none"/>
              </w:rPr>
              <w:t>KOPĒJĀ SUMMA (EUR ar PVN) )   (1.</w:t>
            </w:r>
            <w:r w:rsidRPr="00DF20E0">
              <w:rPr>
                <w:rFonts w:ascii="Times New Roman" w:eastAsia="Times New Roman" w:hAnsi="Times New Roman" w:cs="Times New Roman"/>
                <w:kern w:val="0"/>
                <w:sz w:val="24"/>
                <w:szCs w:val="24"/>
                <w14:ligatures w14:val="none"/>
              </w:rPr>
              <w:t>–</w:t>
            </w:r>
            <w:r w:rsidRPr="00DF20E0">
              <w:rPr>
                <w:rFonts w:ascii="Times New Roman" w:eastAsia="Times New Roman" w:hAnsi="Times New Roman" w:cs="Times New Roman"/>
                <w:b/>
                <w:kern w:val="0"/>
                <w:sz w:val="24"/>
                <w:szCs w:val="24"/>
                <w14:ligatures w14:val="none"/>
              </w:rPr>
              <w:t>4. tabula)</w:t>
            </w:r>
          </w:p>
        </w:tc>
        <w:tc>
          <w:tcPr>
            <w:tcW w:w="1278" w:type="pct"/>
            <w:tcBorders>
              <w:top w:val="single" w:sz="4" w:space="0" w:color="auto"/>
              <w:left w:val="single" w:sz="4" w:space="0" w:color="auto"/>
              <w:bottom w:val="single" w:sz="4" w:space="0" w:color="auto"/>
              <w:right w:val="single" w:sz="4" w:space="0" w:color="auto"/>
            </w:tcBorders>
          </w:tcPr>
          <w:p w14:paraId="25FF41BC" w14:textId="77777777" w:rsidR="00DF20E0" w:rsidRPr="00DF20E0" w:rsidRDefault="00DF20E0" w:rsidP="00DF20E0">
            <w:pPr>
              <w:spacing w:after="0" w:line="240" w:lineRule="auto"/>
              <w:jc w:val="center"/>
              <w:rPr>
                <w:rFonts w:ascii="Times New Roman" w:eastAsia="Times New Roman" w:hAnsi="Times New Roman" w:cs="Times New Roman"/>
                <w:b/>
                <w:bCs/>
                <w:kern w:val="0"/>
                <w:sz w:val="24"/>
                <w:szCs w:val="24"/>
                <w14:ligatures w14:val="none"/>
              </w:rPr>
            </w:pPr>
          </w:p>
        </w:tc>
      </w:tr>
    </w:tbl>
    <w:p w14:paraId="53E5EE2F" w14:textId="77777777" w:rsidR="00DF20E0" w:rsidRPr="00DF20E0" w:rsidRDefault="00DF20E0" w:rsidP="00DF20E0">
      <w:pPr>
        <w:spacing w:after="0" w:line="240" w:lineRule="auto"/>
        <w:rPr>
          <w:rFonts w:ascii="Times New Roman" w:eastAsia="Calibri" w:hAnsi="Times New Roman" w:cs="Times New Roman"/>
          <w:kern w:val="0"/>
          <w:sz w:val="24"/>
          <w:szCs w:val="24"/>
          <w14:ligatures w14:val="none"/>
        </w:rPr>
      </w:pPr>
    </w:p>
    <w:p w14:paraId="36EF6328" w14:textId="77777777" w:rsidR="00DF20E0" w:rsidRPr="00DF20E0" w:rsidRDefault="00DF20E0" w:rsidP="00DF20E0">
      <w:pPr>
        <w:spacing w:after="0" w:line="240" w:lineRule="auto"/>
        <w:jc w:val="both"/>
        <w:rPr>
          <w:rFonts w:ascii="Times New Roman" w:eastAsia="Calibri" w:hAnsi="Times New Roman" w:cs="Times New Roman"/>
          <w:kern w:val="0"/>
          <w:sz w:val="24"/>
          <w:szCs w:val="24"/>
          <w14:ligatures w14:val="none"/>
        </w:rPr>
      </w:pPr>
      <w:r w:rsidRPr="00DF20E0">
        <w:rPr>
          <w:rFonts w:ascii="Times New Roman" w:eastAsia="Calibri" w:hAnsi="Times New Roman" w:cs="Times New Roman"/>
          <w:kern w:val="0"/>
          <w:sz w:val="24"/>
          <w:szCs w:val="24"/>
          <w14:ligatures w14:val="none"/>
        </w:rPr>
        <w:t xml:space="preserve">Finanšu piedāvājuma cenā tiek iekļautas visas ar Līguma izpildi saistītās izmaksas, tai skaitā izmaksas, kas saistītas ar pakalpojuma sniegšanu, transporta izdevumiem, iekārtu ekspluatāciju, materiālu iegādi, nodokļiem un nodevām (izņemot PVN) u.c. saistītās izmaksas, kā arī visi iespējamie riski, kas saistīti ar tirgus cenu svārstībām Līguma izpildes laikā. Piedāvātā cena tiek norādīta ar precizitāti divas zīmes aiz komata. </w:t>
      </w:r>
    </w:p>
    <w:p w14:paraId="18BBC675" w14:textId="229F2F04" w:rsidR="00DF20E0" w:rsidRPr="00DF20E0" w:rsidRDefault="00DF20E0" w:rsidP="00DF20E0">
      <w:pPr>
        <w:spacing w:after="0" w:line="240" w:lineRule="auto"/>
        <w:jc w:val="both"/>
        <w:rPr>
          <w:rFonts w:ascii="Times New Roman" w:eastAsia="Calibri" w:hAnsi="Times New Roman" w:cs="Times New Roman"/>
          <w:kern w:val="0"/>
          <w:sz w:val="24"/>
          <w:szCs w:val="24"/>
          <w14:ligatures w14:val="none"/>
        </w:rPr>
      </w:pPr>
      <w:r w:rsidRPr="00DF20E0">
        <w:rPr>
          <w:rFonts w:ascii="Times New Roman" w:eastAsia="Calibri" w:hAnsi="Times New Roman" w:cs="Times New Roman"/>
          <w:kern w:val="0"/>
          <w:sz w:val="24"/>
          <w:szCs w:val="24"/>
          <w14:ligatures w14:val="none"/>
        </w:rPr>
        <w:t xml:space="preserve">Finanšu piedāvājums neatspoguļo Līguma kopējo (maksimālo) summu, jo Līgums tiks slēgts par Iepirkuma paredzamo līgumcenu, kas noteikta </w:t>
      </w:r>
      <w:r w:rsidR="000872F2">
        <w:rPr>
          <w:rFonts w:ascii="Times New Roman" w:eastAsia="Calibri" w:hAnsi="Times New Roman" w:cs="Times New Roman"/>
          <w:kern w:val="0"/>
          <w:sz w:val="24"/>
          <w:szCs w:val="24"/>
          <w14:ligatures w14:val="none"/>
        </w:rPr>
        <w:t>Iepirkuma</w:t>
      </w:r>
      <w:r w:rsidRPr="00DF20E0">
        <w:rPr>
          <w:rFonts w:ascii="Times New Roman" w:eastAsia="Calibri" w:hAnsi="Times New Roman" w:cs="Times New Roman"/>
          <w:kern w:val="0"/>
          <w:sz w:val="24"/>
          <w:szCs w:val="24"/>
          <w14:ligatures w14:val="none"/>
        </w:rPr>
        <w:t xml:space="preserve"> nolikuma 3.</w:t>
      </w:r>
      <w:r w:rsidR="000872F2">
        <w:rPr>
          <w:rFonts w:ascii="Times New Roman" w:eastAsia="Calibri" w:hAnsi="Times New Roman" w:cs="Times New Roman"/>
          <w:kern w:val="0"/>
          <w:sz w:val="24"/>
          <w:szCs w:val="24"/>
          <w14:ligatures w14:val="none"/>
        </w:rPr>
        <w:t>2</w:t>
      </w:r>
      <w:r w:rsidRPr="00DF20E0">
        <w:rPr>
          <w:rFonts w:ascii="Times New Roman" w:eastAsia="Calibri" w:hAnsi="Times New Roman" w:cs="Times New Roman"/>
          <w:kern w:val="0"/>
          <w:sz w:val="24"/>
          <w:szCs w:val="24"/>
          <w14:ligatures w14:val="none"/>
        </w:rPr>
        <w:t>. punktā. Pretendenta finanšu piedāvājumā norādīto cenu kopsumma par veicamajiem darbiem ir vērtējamā cena un tiks izmantotas pretendentu finanšu piedāvājumu savstarpējai salīdzināšanai un saimnieciski izdevīgākā piedāvājuma izvēlei pēc zemākās kopējās summas.</w:t>
      </w:r>
    </w:p>
    <w:p w14:paraId="76B93092" w14:textId="77777777" w:rsidR="00DF20E0" w:rsidRPr="00DF20E0" w:rsidRDefault="00DF20E0" w:rsidP="00DF20E0">
      <w:pPr>
        <w:spacing w:after="0" w:line="240" w:lineRule="auto"/>
        <w:jc w:val="both"/>
        <w:rPr>
          <w:rFonts w:ascii="Times New Roman" w:eastAsia="Calibri" w:hAnsi="Times New Roman" w:cs="Times New Roman"/>
          <w:kern w:val="0"/>
          <w:sz w:val="24"/>
          <w:szCs w:val="24"/>
          <w14:ligatures w14:val="none"/>
        </w:rPr>
      </w:pPr>
      <w:r w:rsidRPr="00DF20E0">
        <w:rPr>
          <w:rFonts w:ascii="Times New Roman" w:eastAsia="Calibri" w:hAnsi="Times New Roman" w:cs="Times New Roman"/>
          <w:kern w:val="0"/>
          <w:sz w:val="24"/>
          <w:szCs w:val="24"/>
          <w14:ligatures w14:val="none"/>
        </w:rPr>
        <w:t xml:space="preserve">Norādītā cenu kopējā summa jānorāda Elektronisko iepirkumu sistēmā sadaļā "Finanšu piedāvājuma prasības". </w:t>
      </w:r>
    </w:p>
    <w:p w14:paraId="7C4ED8FC" w14:textId="77777777" w:rsidR="008D55E9" w:rsidRPr="008D55E9" w:rsidRDefault="008D55E9" w:rsidP="008D55E9">
      <w:pPr>
        <w:spacing w:after="0" w:line="240" w:lineRule="auto"/>
        <w:rPr>
          <w:rFonts w:ascii="Times New Roman" w:eastAsia="Times New Roman" w:hAnsi="Times New Roman" w:cs="Times New Roman"/>
          <w:bCs/>
          <w:kern w:val="0"/>
          <w:sz w:val="24"/>
          <w:szCs w:val="24"/>
          <w:lang w:eastAsia="lv-LV"/>
          <w14:ligatures w14:val="none"/>
        </w:rPr>
      </w:pPr>
    </w:p>
    <w:p w14:paraId="20456B9E" w14:textId="77777777" w:rsidR="00C02095" w:rsidRDefault="00C02095"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p w14:paraId="091728C5" w14:textId="77777777" w:rsidR="007C447C" w:rsidRPr="00DB2562" w:rsidRDefault="007C447C"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tbl>
      <w:tblPr>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C02095" w:rsidRPr="00F55E8E" w14:paraId="743B8040" w14:textId="77777777" w:rsidTr="00B27BF1">
        <w:tc>
          <w:tcPr>
            <w:tcW w:w="4731" w:type="pct"/>
            <w:tcBorders>
              <w:top w:val="single" w:sz="4" w:space="0" w:color="auto"/>
              <w:left w:val="nil"/>
              <w:bottom w:val="nil"/>
              <w:right w:val="nil"/>
            </w:tcBorders>
            <w:hideMark/>
          </w:tcPr>
          <w:p w14:paraId="0757FE81" w14:textId="77777777" w:rsidR="00C02095" w:rsidRPr="00F55E8E" w:rsidRDefault="00C02095" w:rsidP="00B27BF1">
            <w:pPr>
              <w:spacing w:after="0" w:line="240" w:lineRule="auto"/>
              <w:jc w:val="both"/>
              <w:rPr>
                <w:rFonts w:ascii="Times New Roman" w:eastAsia="Times New Roman" w:hAnsi="Times New Roman" w:cs="Times New Roman"/>
                <w:i/>
                <w:kern w:val="0"/>
                <w:lang w:eastAsia="lv-LV"/>
                <w14:ligatures w14:val="none"/>
              </w:rPr>
            </w:pPr>
            <w:r w:rsidRPr="00F55E8E">
              <w:rPr>
                <w:rFonts w:ascii="Times New Roman" w:eastAsia="Times New Roman" w:hAnsi="Times New Roman" w:cs="Times New Roman"/>
                <w:i/>
                <w:kern w:val="0"/>
                <w:lang w:eastAsia="lv-LV"/>
                <w14:ligatures w14:val="none"/>
              </w:rPr>
              <w:t>Pretendenta likumiskā vai pilnvarotā pārstāvja amats, vārds, uzvārds un paraksts* un datums*</w:t>
            </w:r>
          </w:p>
          <w:p w14:paraId="55CB52FC" w14:textId="77777777" w:rsidR="00C02095" w:rsidRPr="00F55E8E" w:rsidRDefault="00C02095" w:rsidP="00B27BF1">
            <w:pPr>
              <w:spacing w:after="0" w:line="240" w:lineRule="auto"/>
              <w:jc w:val="both"/>
              <w:rPr>
                <w:rFonts w:ascii="Times New Roman" w:eastAsia="Times New Roman" w:hAnsi="Times New Roman" w:cs="Times New Roman"/>
                <w:i/>
                <w:kern w:val="0"/>
                <w:lang w:eastAsia="lv-LV"/>
                <w14:ligatures w14:val="none"/>
              </w:rPr>
            </w:pPr>
          </w:p>
        </w:tc>
      </w:tr>
    </w:tbl>
    <w:p w14:paraId="29B40BB1" w14:textId="77777777" w:rsidR="00C02095" w:rsidRDefault="00C02095" w:rsidP="00C02095">
      <w:pPr>
        <w:spacing w:after="0" w:line="240" w:lineRule="auto"/>
      </w:pPr>
      <w:r w:rsidRPr="00F55E8E">
        <w:rPr>
          <w:rFonts w:ascii="Times New Roman" w:eastAsia="Times New Roman" w:hAnsi="Times New Roman" w:cs="Times New Roman"/>
          <w:i/>
          <w:iCs/>
          <w:kern w:val="0"/>
          <w:sz w:val="20"/>
          <w:szCs w:val="20"/>
          <w:lang w:eastAsia="lv-LV"/>
          <w14:ligatures w14:val="none"/>
        </w:rPr>
        <w:t>*Rekvizītus “paraksts” un “datums” neaizpilda, ja dokuments parakstīts elektroniski ar drošu elektronisko parakstu un satur laika zīmogu</w:t>
      </w:r>
    </w:p>
    <w:p w14:paraId="5E55023C" w14:textId="77777777" w:rsidR="00191B14" w:rsidRDefault="00191B14"/>
    <w:sectPr w:rsidR="00191B14" w:rsidSect="00DB2562">
      <w:footerReference w:type="default" r:id="rId7"/>
      <w:footerReference w:type="firs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708B" w14:textId="77777777" w:rsidR="006603EB" w:rsidRDefault="006603EB">
      <w:pPr>
        <w:spacing w:after="0" w:line="240" w:lineRule="auto"/>
      </w:pPr>
      <w:r>
        <w:separator/>
      </w:r>
    </w:p>
  </w:endnote>
  <w:endnote w:type="continuationSeparator" w:id="0">
    <w:p w14:paraId="5A9C87FA" w14:textId="77777777" w:rsidR="006603EB" w:rsidRDefault="0066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A06" w14:textId="77777777" w:rsidR="00602BE4" w:rsidRDefault="00602BE4">
    <w:pPr>
      <w:pStyle w:val="Kjene"/>
      <w:jc w:val="center"/>
    </w:pPr>
    <w:r>
      <w:fldChar w:fldCharType="begin"/>
    </w:r>
    <w:r>
      <w:instrText>PAGE   \* MERGEFORMAT</w:instrText>
    </w:r>
    <w:r>
      <w:fldChar w:fldCharType="separate"/>
    </w:r>
    <w:r>
      <w:rPr>
        <w:noProof/>
      </w:rPr>
      <w:t>7</w:t>
    </w:r>
    <w:r>
      <w:fldChar w:fldCharType="end"/>
    </w:r>
  </w:p>
  <w:p w14:paraId="1E6B4A74" w14:textId="77777777" w:rsidR="00602BE4" w:rsidRDefault="00602BE4"/>
  <w:p w14:paraId="1514088E" w14:textId="71B91771" w:rsidR="00602BE4" w:rsidRDefault="00602BE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1938" w14:textId="77777777" w:rsidR="00602BE4" w:rsidRDefault="00602BE4">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6CBA" w14:textId="77777777" w:rsidR="006603EB" w:rsidRDefault="006603EB">
      <w:pPr>
        <w:spacing w:after="0" w:line="240" w:lineRule="auto"/>
      </w:pPr>
      <w:r>
        <w:separator/>
      </w:r>
    </w:p>
  </w:footnote>
  <w:footnote w:type="continuationSeparator" w:id="0">
    <w:p w14:paraId="2FFB16C4" w14:textId="77777777" w:rsidR="006603EB" w:rsidRDefault="00660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D3F99"/>
    <w:multiLevelType w:val="hybridMultilevel"/>
    <w:tmpl w:val="56FEC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097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62"/>
    <w:rsid w:val="00054F69"/>
    <w:rsid w:val="000872F2"/>
    <w:rsid w:val="000F07E3"/>
    <w:rsid w:val="001017CE"/>
    <w:rsid w:val="00191B14"/>
    <w:rsid w:val="001B6EFA"/>
    <w:rsid w:val="001D1A85"/>
    <w:rsid w:val="001F605E"/>
    <w:rsid w:val="002665A0"/>
    <w:rsid w:val="00392EF9"/>
    <w:rsid w:val="003E1D6A"/>
    <w:rsid w:val="003E2D56"/>
    <w:rsid w:val="00602BE4"/>
    <w:rsid w:val="00604F9A"/>
    <w:rsid w:val="0061473C"/>
    <w:rsid w:val="006603EB"/>
    <w:rsid w:val="00776581"/>
    <w:rsid w:val="007771BF"/>
    <w:rsid w:val="007A02CA"/>
    <w:rsid w:val="007C447C"/>
    <w:rsid w:val="007D00A7"/>
    <w:rsid w:val="007D3603"/>
    <w:rsid w:val="007D3F24"/>
    <w:rsid w:val="00896530"/>
    <w:rsid w:val="008B41BD"/>
    <w:rsid w:val="008D55E9"/>
    <w:rsid w:val="00A34422"/>
    <w:rsid w:val="00A90266"/>
    <w:rsid w:val="00AE07D4"/>
    <w:rsid w:val="00BC378A"/>
    <w:rsid w:val="00C02095"/>
    <w:rsid w:val="00C80C10"/>
    <w:rsid w:val="00CC22CA"/>
    <w:rsid w:val="00CD245E"/>
    <w:rsid w:val="00DB2562"/>
    <w:rsid w:val="00DC6A9A"/>
    <w:rsid w:val="00DF20E0"/>
    <w:rsid w:val="00E66584"/>
    <w:rsid w:val="00EB580D"/>
    <w:rsid w:val="00EE5CB5"/>
    <w:rsid w:val="00F014B0"/>
    <w:rsid w:val="00F71A8B"/>
    <w:rsid w:val="00FC1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0E73"/>
  <w15:chartTrackingRefBased/>
  <w15:docId w15:val="{8BD31148-407F-4EFD-B794-ECFAD110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2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2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256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256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256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256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256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256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256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256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256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256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256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256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25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25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25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256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25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256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25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256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2562"/>
    <w:rPr>
      <w:i/>
      <w:iCs/>
      <w:color w:val="404040" w:themeColor="text1" w:themeTint="BF"/>
    </w:rPr>
  </w:style>
  <w:style w:type="paragraph" w:styleId="Sarakstarindkopa">
    <w:name w:val="List Paragraph"/>
    <w:basedOn w:val="Parasts"/>
    <w:uiPriority w:val="34"/>
    <w:qFormat/>
    <w:rsid w:val="00DB2562"/>
    <w:pPr>
      <w:ind w:left="720"/>
      <w:contextualSpacing/>
    </w:pPr>
  </w:style>
  <w:style w:type="character" w:styleId="Intensvsizclums">
    <w:name w:val="Intense Emphasis"/>
    <w:basedOn w:val="Noklusjumarindkopasfonts"/>
    <w:uiPriority w:val="21"/>
    <w:qFormat/>
    <w:rsid w:val="00DB2562"/>
    <w:rPr>
      <w:i/>
      <w:iCs/>
      <w:color w:val="0F4761" w:themeColor="accent1" w:themeShade="BF"/>
    </w:rPr>
  </w:style>
  <w:style w:type="paragraph" w:styleId="Intensvscitts">
    <w:name w:val="Intense Quote"/>
    <w:basedOn w:val="Parasts"/>
    <w:next w:val="Parasts"/>
    <w:link w:val="IntensvscittsRakstz"/>
    <w:uiPriority w:val="30"/>
    <w:qFormat/>
    <w:rsid w:val="00DB2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2562"/>
    <w:rPr>
      <w:i/>
      <w:iCs/>
      <w:color w:val="0F4761" w:themeColor="accent1" w:themeShade="BF"/>
    </w:rPr>
  </w:style>
  <w:style w:type="character" w:styleId="Intensvaatsauce">
    <w:name w:val="Intense Reference"/>
    <w:basedOn w:val="Noklusjumarindkopasfonts"/>
    <w:uiPriority w:val="32"/>
    <w:qFormat/>
    <w:rsid w:val="00DB2562"/>
    <w:rPr>
      <w:b/>
      <w:bCs/>
      <w:smallCaps/>
      <w:color w:val="0F4761" w:themeColor="accent1" w:themeShade="BF"/>
      <w:spacing w:val="5"/>
    </w:rPr>
  </w:style>
  <w:style w:type="paragraph" w:styleId="Kjene">
    <w:name w:val="footer"/>
    <w:basedOn w:val="Parasts"/>
    <w:link w:val="KjeneRakstz"/>
    <w:uiPriority w:val="99"/>
    <w:unhideWhenUsed/>
    <w:rsid w:val="00DB25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2562"/>
  </w:style>
  <w:style w:type="character" w:styleId="Komentraatsauce">
    <w:name w:val="annotation reference"/>
    <w:basedOn w:val="Noklusjumarindkopasfonts"/>
    <w:uiPriority w:val="99"/>
    <w:semiHidden/>
    <w:unhideWhenUsed/>
    <w:rsid w:val="003E2D56"/>
    <w:rPr>
      <w:sz w:val="16"/>
      <w:szCs w:val="16"/>
    </w:rPr>
  </w:style>
  <w:style w:type="paragraph" w:styleId="Komentrateksts">
    <w:name w:val="annotation text"/>
    <w:basedOn w:val="Parasts"/>
    <w:link w:val="KomentratekstsRakstz"/>
    <w:uiPriority w:val="99"/>
    <w:unhideWhenUsed/>
    <w:rsid w:val="003E2D5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E2D56"/>
    <w:rPr>
      <w:sz w:val="20"/>
      <w:szCs w:val="20"/>
    </w:rPr>
  </w:style>
  <w:style w:type="paragraph" w:styleId="Komentratma">
    <w:name w:val="annotation subject"/>
    <w:basedOn w:val="Komentrateksts"/>
    <w:next w:val="Komentrateksts"/>
    <w:link w:val="KomentratmaRakstz"/>
    <w:uiPriority w:val="99"/>
    <w:semiHidden/>
    <w:unhideWhenUsed/>
    <w:rsid w:val="003E2D56"/>
    <w:rPr>
      <w:b/>
      <w:bCs/>
    </w:rPr>
  </w:style>
  <w:style w:type="character" w:customStyle="1" w:styleId="KomentratmaRakstz">
    <w:name w:val="Komentāra tēma Rakstz."/>
    <w:basedOn w:val="KomentratekstsRakstz"/>
    <w:link w:val="Komentratma"/>
    <w:uiPriority w:val="99"/>
    <w:semiHidden/>
    <w:rsid w:val="003E2D56"/>
    <w:rPr>
      <w:b/>
      <w:bCs/>
      <w:sz w:val="20"/>
      <w:szCs w:val="20"/>
    </w:rPr>
  </w:style>
  <w:style w:type="paragraph" w:styleId="Galvene">
    <w:name w:val="header"/>
    <w:basedOn w:val="Parasts"/>
    <w:link w:val="GalveneRakstz"/>
    <w:uiPriority w:val="99"/>
    <w:unhideWhenUsed/>
    <w:rsid w:val="00C020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2095"/>
  </w:style>
  <w:style w:type="paragraph" w:styleId="Prskatjums">
    <w:name w:val="Revision"/>
    <w:hidden/>
    <w:uiPriority w:val="99"/>
    <w:semiHidden/>
    <w:rsid w:val="00054F69"/>
    <w:pPr>
      <w:spacing w:after="0" w:line="240" w:lineRule="auto"/>
    </w:pPr>
  </w:style>
  <w:style w:type="table" w:customStyle="1" w:styleId="TableNormal12">
    <w:name w:val="Table Normal12"/>
    <w:rsid w:val="00DF20E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v-LV"/>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3138</Words>
  <Characters>1790</Characters>
  <Application>Microsoft Office Word</Application>
  <DocSecurity>0</DocSecurity>
  <Lines>14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12</cp:revision>
  <dcterms:created xsi:type="dcterms:W3CDTF">2025-03-27T12:37:00Z</dcterms:created>
  <dcterms:modified xsi:type="dcterms:W3CDTF">2026-05-14T10:39:00Z</dcterms:modified>
</cp:coreProperties>
</file>