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DF59A8"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5</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CC4BF1">
        <w:rPr>
          <w:rFonts w:ascii="Times New Roman" w:hAnsi="Times New Roman" w:cs="Times New Roman"/>
          <w:bCs/>
          <w:color w:val="000000"/>
          <w:sz w:val="26"/>
          <w:szCs w:val="26"/>
          <w:lang w:eastAsia="ar-SA"/>
        </w:rPr>
        <w:t>2019/30</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CC4BF1" w:rsidRDefault="007C3ADC" w:rsidP="00CC4BF1">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Pr="00CC4BF1">
        <w:rPr>
          <w:rFonts w:ascii="Times New Roman" w:hAnsi="Times New Roman" w:cs="Times New Roman"/>
          <w:color w:val="000000"/>
          <w:sz w:val="26"/>
          <w:szCs w:val="26"/>
        </w:rPr>
        <w:t>“</w:t>
      </w:r>
      <w:bookmarkStart w:id="0" w:name="_Hlk21602901"/>
      <w:r w:rsidR="00CC4BF1" w:rsidRPr="00CC4BF1">
        <w:rPr>
          <w:rFonts w:ascii="Times New Roman" w:eastAsia="Times New Roman" w:hAnsi="Times New Roman" w:cs="Times New Roman"/>
          <w:color w:val="000000"/>
          <w:sz w:val="26"/>
          <w:szCs w:val="26"/>
        </w:rPr>
        <w:t>Ēdināšanas pakalpojumi Rīgas 7.pamatskolā</w:t>
      </w:r>
      <w:bookmarkEnd w:id="0"/>
      <w:r w:rsidRPr="00CC4BF1">
        <w:rPr>
          <w:rFonts w:ascii="Times New Roman" w:hAnsi="Times New Roman" w:cs="Times New Roman"/>
          <w:color w:val="000000"/>
          <w:sz w:val="26"/>
          <w:szCs w:val="26"/>
        </w:rPr>
        <w:t>”</w:t>
      </w:r>
      <w:r w:rsidRPr="00F56DE1">
        <w:rPr>
          <w:rFonts w:ascii="Times New Roman" w:hAnsi="Times New Roman" w:cs="Times New Roman"/>
          <w:color w:val="000000"/>
          <w:sz w:val="26"/>
          <w:szCs w:val="26"/>
        </w:rPr>
        <w:t xml:space="preserve">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CC4BF1">
        <w:rPr>
          <w:rFonts w:ascii="Times New Roman" w:hAnsi="Times New Roman" w:cs="Times New Roman"/>
          <w:color w:val="000000"/>
          <w:sz w:val="26"/>
          <w:szCs w:val="26"/>
        </w:rPr>
        <w:t>2019/30</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r w:rsidR="00CC4BF1">
        <w:rPr>
          <w:rFonts w:ascii="Times New Roman" w:hAnsi="Times New Roman" w:cs="Times New Roman"/>
          <w:color w:val="000000"/>
          <w:sz w:val="26"/>
          <w:szCs w:val="26"/>
        </w:rPr>
        <w:t>:</w:t>
      </w:r>
    </w:p>
    <w:p w:rsidR="00AA21AE" w:rsidRPr="00CC4BF1" w:rsidRDefault="00AA21AE" w:rsidP="00CC4BF1">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w:t>
      </w:r>
      <w:r w:rsidR="00CC4BF1" w:rsidRPr="00CC4BF1">
        <w:rPr>
          <w:rFonts w:ascii="Times New Roman" w:hAnsi="Times New Roman" w:cs="Times New Roman"/>
          <w:color w:val="000000"/>
          <w:sz w:val="26"/>
          <w:szCs w:val="26"/>
        </w:rPr>
        <w:t>Rīgas 7.pamatskolā</w:t>
      </w:r>
      <w:r w:rsidR="00CC4BF1">
        <w:rPr>
          <w:rFonts w:ascii="Times New Roman" w:eastAsia="Times New Roman" w:hAnsi="Times New Roman" w:cs="Times New Roman"/>
          <w:i/>
          <w:color w:val="000000"/>
          <w:sz w:val="26"/>
          <w:szCs w:val="26"/>
        </w:rPr>
        <w:t>,</w:t>
      </w:r>
      <w:r w:rsidRPr="00AA21AE">
        <w:rPr>
          <w:rFonts w:ascii="Times New Roman" w:eastAsia="TimesNewRoman" w:hAnsi="Times New Roman" w:cs="Times New Roman"/>
          <w:color w:val="000000"/>
          <w:sz w:val="26"/>
          <w:szCs w:val="26"/>
        </w:rPr>
        <w:t xml:space="preserve"> </w:t>
      </w:r>
      <w:r w:rsidRPr="00CC4BF1">
        <w:rPr>
          <w:rFonts w:ascii="Times New Roman" w:hAnsi="Times New Roman" w:cs="Times New Roman"/>
          <w:b/>
          <w:color w:val="000000"/>
          <w:sz w:val="26"/>
          <w:szCs w:val="26"/>
        </w:rPr>
        <w:t>tiks nodrošināts  šāds tehniskais aprīkojums</w:t>
      </w:r>
      <w:r w:rsidRPr="00CC4BF1">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CC4BF1">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B33B12" w:rsidRDefault="00B33B12" w:rsidP="00B71AC8">
      <w:pPr>
        <w:spacing w:after="0" w:line="240" w:lineRule="auto"/>
        <w:rPr>
          <w:rFonts w:ascii="Times New Roman" w:hAnsi="Times New Roman" w:cs="Times New Roman"/>
          <w:color w:val="000000"/>
          <w:sz w:val="26"/>
          <w:szCs w:val="26"/>
          <w:lang w:eastAsia="ar-SA"/>
        </w:rPr>
      </w:pPr>
    </w:p>
    <w:p w:rsidR="00CC4BF1" w:rsidRPr="00AF78BF" w:rsidRDefault="00CC4BF1" w:rsidP="00CC4BF1">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Pr>
          <w:rFonts w:ascii="Times New Roman" w:hAnsi="Times New Roman" w:cs="Times New Roman"/>
          <w:color w:val="000000"/>
          <w:sz w:val="26"/>
          <w:szCs w:val="26"/>
        </w:rPr>
        <w:t xml:space="preserve">ojumi </w:t>
      </w:r>
      <w:bookmarkStart w:id="1" w:name="_GoBack"/>
      <w:bookmarkEnd w:id="1"/>
      <w:r w:rsidRPr="00CC4BF1">
        <w:rPr>
          <w:rFonts w:ascii="Times New Roman" w:hAnsi="Times New Roman" w:cs="Times New Roman"/>
          <w:color w:val="000000"/>
          <w:sz w:val="26"/>
          <w:szCs w:val="26"/>
        </w:rPr>
        <w:t>Rīgas 7.pamatskolā</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tiks nodrošināti saskaņā ar šādiem darba procesiem</w:t>
      </w:r>
      <w:r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CC4BF1" w:rsidRPr="00174838" w:rsidTr="00CD08E9">
        <w:tc>
          <w:tcPr>
            <w:tcW w:w="953"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 xml:space="preserve">pirmapstrādes procesu </w:t>
            </w:r>
            <w:r w:rsidRPr="00174838">
              <w:rPr>
                <w:rFonts w:ascii="Times New Roman" w:eastAsia="Times New Roman" w:hAnsi="Times New Roman" w:cs="Times New Roman"/>
                <w:color w:val="000000"/>
                <w:sz w:val="26"/>
                <w:szCs w:val="26"/>
              </w:rPr>
              <w:lastRenderedPageBreak/>
              <w:t>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CC4BF1" w:rsidRPr="00174838" w:rsidTr="00CD08E9">
        <w:tc>
          <w:tcPr>
            <w:tcW w:w="953" w:type="dxa"/>
            <w:shd w:val="clear" w:color="auto" w:fill="auto"/>
          </w:tcPr>
          <w:p w:rsidR="00CC4BF1" w:rsidRPr="00174838" w:rsidRDefault="00CC4BF1" w:rsidP="00CC4BF1">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zāles trauku savākšana, mazgāšana: netīro trauku savākšanas un mazgāšanas un tīro trauku 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CC4BF1" w:rsidRPr="00174838" w:rsidRDefault="00CC4BF1" w:rsidP="00CD08E9">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CC4BF1" w:rsidRDefault="00CC4BF1"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F0C" w:rsidRDefault="00A17F0C" w:rsidP="00A17F0C">
      <w:pPr>
        <w:spacing w:after="0" w:line="240" w:lineRule="auto"/>
      </w:pPr>
      <w:r>
        <w:separator/>
      </w:r>
    </w:p>
  </w:endnote>
  <w:endnote w:type="continuationSeparator" w:id="0">
    <w:p w:rsidR="00A17F0C" w:rsidRDefault="00A17F0C"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C864D0" w:rsidRPr="00F26C2D">
          <w:rPr>
            <w:rFonts w:ascii="Times New Roman" w:hAnsi="Times New Roman"/>
            <w:noProof/>
          </w:rPr>
          <w:t>2</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F0C" w:rsidRDefault="00A17F0C" w:rsidP="00A17F0C">
      <w:pPr>
        <w:spacing w:after="0" w:line="240" w:lineRule="auto"/>
      </w:pPr>
      <w:r>
        <w:separator/>
      </w:r>
    </w:p>
  </w:footnote>
  <w:footnote w:type="continuationSeparator" w:id="0">
    <w:p w:rsidR="00A17F0C" w:rsidRDefault="00A17F0C"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 xml:space="preserve">Pasūtītāja ieskatā ēdināšanas pakalpojuma līguma izpildei ir obligāti nepieciešams vismaz šāds aprīkojums: elektriskā plīts, elektriskā panna, vismaz divi ledusskapji (viens jēlproduktiem, otrs – termiski apstrādātiem produktiem), gaļas maļamā mašīna, </w:t>
      </w:r>
      <w:proofErr w:type="spellStart"/>
      <w:r w:rsidRPr="00AA21AE">
        <w:rPr>
          <w:rFonts w:ascii="Times New Roman" w:eastAsia="TimesNewRoman" w:hAnsi="Times New Roman" w:cs="Times New Roman"/>
          <w:i/>
          <w:color w:val="000000"/>
          <w:sz w:val="26"/>
          <w:szCs w:val="26"/>
        </w:rPr>
        <w:t>marmīts</w:t>
      </w:r>
      <w:proofErr w:type="spellEnd"/>
      <w:r w:rsidRPr="00AA21AE">
        <w:rPr>
          <w:rFonts w:ascii="Times New Roman" w:eastAsia="TimesNewRoman" w:hAnsi="Times New Roman" w:cs="Times New Roman"/>
          <w:i/>
          <w:color w:val="000000"/>
          <w:sz w:val="26"/>
          <w:szCs w:val="26"/>
        </w:rPr>
        <w:t xml:space="preserve">, </w:t>
      </w:r>
      <w:proofErr w:type="spellStart"/>
      <w:r w:rsidRPr="00AA21AE">
        <w:rPr>
          <w:rFonts w:ascii="Times New Roman" w:eastAsia="TimesNewRoman" w:hAnsi="Times New Roman" w:cs="Times New Roman"/>
          <w:i/>
          <w:color w:val="000000"/>
          <w:sz w:val="26"/>
          <w:szCs w:val="26"/>
        </w:rPr>
        <w:t>aukstumvitrīna</w:t>
      </w:r>
      <w:proofErr w:type="spellEnd"/>
      <w:r w:rsidRPr="00AA21AE">
        <w:rPr>
          <w:rFonts w:ascii="Times New Roman" w:eastAsia="TimesNewRoman" w:hAnsi="Times New Roman" w:cs="Times New Roman"/>
          <w:i/>
          <w:color w:val="000000"/>
          <w:sz w:val="26"/>
          <w:szCs w:val="26"/>
        </w:rPr>
        <w:t>,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27EDB"/>
    <w:rsid w:val="00063750"/>
    <w:rsid w:val="00382FE6"/>
    <w:rsid w:val="003A257F"/>
    <w:rsid w:val="004F63CC"/>
    <w:rsid w:val="0064641B"/>
    <w:rsid w:val="00722EA7"/>
    <w:rsid w:val="007C3ADC"/>
    <w:rsid w:val="007F7448"/>
    <w:rsid w:val="008A65B0"/>
    <w:rsid w:val="008B1915"/>
    <w:rsid w:val="00A17F0C"/>
    <w:rsid w:val="00AA21AE"/>
    <w:rsid w:val="00B058CB"/>
    <w:rsid w:val="00B33B12"/>
    <w:rsid w:val="00B71AC8"/>
    <w:rsid w:val="00C864D0"/>
    <w:rsid w:val="00CC4BF1"/>
    <w:rsid w:val="00D21814"/>
    <w:rsid w:val="00DF35B2"/>
    <w:rsid w:val="00DF59A8"/>
    <w:rsid w:val="00EF51ED"/>
    <w:rsid w:val="00F001A7"/>
    <w:rsid w:val="00F26C2D"/>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2EFD"/>
  <w15:docId w15:val="{4F3CF276-D8EC-426D-87A5-E1384FD5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A9C8-797D-4BC8-AA61-4706B8F5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1502</Words>
  <Characters>857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2019-05-31T05:48:00Z</dcterms:created>
  <dcterms:modified xsi:type="dcterms:W3CDTF">2019-10-11T06:51:00Z</dcterms:modified>
</cp:coreProperties>
</file>