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DF59A8" w:rsidP="00F001A7">
      <w:pPr>
        <w:suppressAutoHyphens/>
        <w:spacing w:after="0" w:line="240" w:lineRule="auto"/>
        <w:ind w:left="2160"/>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48352C">
        <w:rPr>
          <w:rFonts w:ascii="Times New Roman" w:hAnsi="Times New Roman" w:cs="Times New Roman"/>
          <w:bCs/>
          <w:color w:val="000000"/>
          <w:sz w:val="26"/>
          <w:szCs w:val="26"/>
          <w:lang w:eastAsia="ar-SA"/>
        </w:rPr>
        <w:t>2020/5</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domes Izglītības, kultūras un sporta departamenta padotībā esošo </w:t>
      </w:r>
      <w:r w:rsidR="006B3CDA">
        <w:rPr>
          <w:rFonts w:ascii="Times New Roman" w:hAnsi="Times New Roman" w:cs="Times New Roman"/>
          <w:color w:val="000000"/>
          <w:sz w:val="26"/>
          <w:szCs w:val="26"/>
        </w:rPr>
        <w:t>pirms</w:t>
      </w:r>
      <w:r w:rsidRPr="00F56DE1">
        <w:rPr>
          <w:rFonts w:ascii="Times New Roman" w:hAnsi="Times New Roman" w:cs="Times New Roman"/>
          <w:color w:val="000000"/>
          <w:sz w:val="26"/>
          <w:szCs w:val="26"/>
        </w:rPr>
        <w:t xml:space="preserve">skolu vajadzībām”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48352C">
        <w:rPr>
          <w:rFonts w:ascii="Times New Roman" w:hAnsi="Times New Roman" w:cs="Times New Roman"/>
          <w:color w:val="000000"/>
          <w:sz w:val="26"/>
          <w:szCs w:val="26"/>
        </w:rPr>
        <w:t>2020/5</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D4" w:rsidRDefault="00FB01D4" w:rsidP="00A17F0C">
      <w:pPr>
        <w:spacing w:after="0" w:line="240" w:lineRule="auto"/>
      </w:pPr>
      <w:r>
        <w:separator/>
      </w:r>
    </w:p>
  </w:endnote>
  <w:endnote w:type="continuationSeparator" w:id="0">
    <w:p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D4" w:rsidRDefault="00FB01D4" w:rsidP="00A17F0C">
      <w:pPr>
        <w:spacing w:after="0" w:line="240" w:lineRule="auto"/>
      </w:pPr>
      <w:r>
        <w:separator/>
      </w:r>
    </w:p>
  </w:footnote>
  <w:footnote w:type="continuationSeparator" w:id="0">
    <w:p w:rsidR="00FB01D4" w:rsidRDefault="00FB01D4"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w:t>
      </w:r>
      <w:proofErr w:type="spellStart"/>
      <w:r w:rsidRPr="00AA21AE">
        <w:rPr>
          <w:rFonts w:ascii="Times New Roman" w:eastAsia="TimesNewRoman" w:hAnsi="Times New Roman" w:cs="Times New Roman"/>
          <w:i/>
          <w:color w:val="000000"/>
          <w:sz w:val="26"/>
          <w:szCs w:val="26"/>
        </w:rPr>
        <w:t>marmīts</w:t>
      </w:r>
      <w:proofErr w:type="spellEnd"/>
      <w:r w:rsidRPr="00AA21AE">
        <w:rPr>
          <w:rFonts w:ascii="Times New Roman" w:eastAsia="TimesNewRoman" w:hAnsi="Times New Roman" w:cs="Times New Roman"/>
          <w:i/>
          <w:color w:val="000000"/>
          <w:sz w:val="26"/>
          <w:szCs w:val="26"/>
        </w:rPr>
        <w:t xml:space="preserve">, </w:t>
      </w:r>
      <w:proofErr w:type="spellStart"/>
      <w:r w:rsidRPr="00AA21AE">
        <w:rPr>
          <w:rFonts w:ascii="Times New Roman" w:eastAsia="TimesNewRoman" w:hAnsi="Times New Roman" w:cs="Times New Roman"/>
          <w:i/>
          <w:color w:val="000000"/>
          <w:sz w:val="26"/>
          <w:szCs w:val="26"/>
        </w:rPr>
        <w:t>aukstumvitrīna</w:t>
      </w:r>
      <w:proofErr w:type="spellEnd"/>
      <w:r w:rsidRPr="00AA21AE">
        <w:rPr>
          <w:rFonts w:ascii="Times New Roman" w:eastAsia="TimesNewRoman" w:hAnsi="Times New Roman" w:cs="Times New Roman"/>
          <w:i/>
          <w:color w:val="000000"/>
          <w:sz w:val="26"/>
          <w:szCs w:val="26"/>
        </w:rPr>
        <w:t>,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63750"/>
    <w:rsid w:val="00382FE6"/>
    <w:rsid w:val="003A257F"/>
    <w:rsid w:val="0048352C"/>
    <w:rsid w:val="004F63CC"/>
    <w:rsid w:val="0064641B"/>
    <w:rsid w:val="006B3CDA"/>
    <w:rsid w:val="00722EA7"/>
    <w:rsid w:val="007C3ADC"/>
    <w:rsid w:val="007F7448"/>
    <w:rsid w:val="008A65B0"/>
    <w:rsid w:val="008B1915"/>
    <w:rsid w:val="00A17F0C"/>
    <w:rsid w:val="00A9010E"/>
    <w:rsid w:val="00AA21AE"/>
    <w:rsid w:val="00B058CB"/>
    <w:rsid w:val="00B33B12"/>
    <w:rsid w:val="00B71AC8"/>
    <w:rsid w:val="00BE6D60"/>
    <w:rsid w:val="00C864D0"/>
    <w:rsid w:val="00D21814"/>
    <w:rsid w:val="00DA5D60"/>
    <w:rsid w:val="00DF35B2"/>
    <w:rsid w:val="00DF59A8"/>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BC4A-B841-4D28-A6AD-366204C2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1903</Words>
  <Characters>1085</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2020-01-20T10:02:00Z</dcterms:created>
  <dcterms:modified xsi:type="dcterms:W3CDTF">2020-02-19T16:00:00Z</dcterms:modified>
</cp:coreProperties>
</file>