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B9297" w14:textId="77777777" w:rsidR="00896733" w:rsidRPr="000B73FE" w:rsidRDefault="00EB2BF5">
      <w:pPr>
        <w:spacing w:after="0" w:line="240" w:lineRule="auto"/>
        <w:jc w:val="center"/>
        <w:rPr>
          <w:rFonts w:ascii="Times New Roman" w:eastAsia="Times New Roman" w:hAnsi="Times New Roman" w:cs="Times New Roman"/>
          <w:b/>
          <w:sz w:val="24"/>
          <w:szCs w:val="24"/>
        </w:rPr>
      </w:pPr>
      <w:r w:rsidRPr="000B73FE">
        <w:rPr>
          <w:rFonts w:ascii="Times New Roman" w:eastAsia="Times New Roman" w:hAnsi="Times New Roman" w:cs="Times New Roman"/>
          <w:b/>
          <w:sz w:val="24"/>
          <w:szCs w:val="24"/>
        </w:rPr>
        <w:t>VIENOŠANĀS Nr. 1</w:t>
      </w:r>
    </w:p>
    <w:p w14:paraId="1C736288" w14:textId="77777777" w:rsidR="00896733" w:rsidRPr="000B73FE" w:rsidRDefault="00EB2BF5">
      <w:pPr>
        <w:spacing w:after="0" w:line="240" w:lineRule="auto"/>
        <w:jc w:val="center"/>
        <w:rPr>
          <w:rFonts w:ascii="Times New Roman" w:eastAsia="Times New Roman" w:hAnsi="Times New Roman" w:cs="Times New Roman"/>
          <w:b/>
          <w:sz w:val="24"/>
          <w:szCs w:val="24"/>
        </w:rPr>
      </w:pPr>
      <w:r w:rsidRPr="000B73FE">
        <w:rPr>
          <w:rFonts w:ascii="Times New Roman" w:eastAsia="Times New Roman" w:hAnsi="Times New Roman" w:cs="Times New Roman"/>
          <w:b/>
          <w:sz w:val="24"/>
          <w:szCs w:val="24"/>
        </w:rPr>
        <w:t xml:space="preserve">PAR 06.03.2020. PAKALPOJUMA LĪGUMA NR. DIKS-20-564-LĪ </w:t>
      </w:r>
    </w:p>
    <w:p w14:paraId="1197AD50" w14:textId="77777777" w:rsidR="00896733" w:rsidRPr="000B73FE" w:rsidRDefault="00EB2BF5">
      <w:pPr>
        <w:spacing w:after="0" w:line="240" w:lineRule="auto"/>
        <w:jc w:val="center"/>
        <w:rPr>
          <w:rFonts w:ascii="Times New Roman" w:eastAsia="Times New Roman" w:hAnsi="Times New Roman" w:cs="Times New Roman"/>
          <w:b/>
          <w:sz w:val="24"/>
          <w:szCs w:val="24"/>
        </w:rPr>
      </w:pPr>
      <w:r w:rsidRPr="000B73FE">
        <w:rPr>
          <w:rFonts w:ascii="Times New Roman" w:eastAsia="Times New Roman" w:hAnsi="Times New Roman" w:cs="Times New Roman"/>
          <w:b/>
          <w:sz w:val="24"/>
          <w:szCs w:val="24"/>
        </w:rPr>
        <w:t xml:space="preserve">GROZĪJUMIEM </w:t>
      </w:r>
    </w:p>
    <w:p w14:paraId="02E0887E" w14:textId="77777777" w:rsidR="00896733" w:rsidRPr="000B73FE" w:rsidRDefault="00896733">
      <w:pPr>
        <w:spacing w:after="0" w:line="240" w:lineRule="auto"/>
        <w:ind w:hanging="709"/>
        <w:jc w:val="center"/>
        <w:rPr>
          <w:rFonts w:ascii="Times New Roman" w:eastAsia="Times New Roman" w:hAnsi="Times New Roman" w:cs="Times New Roman"/>
          <w:b/>
          <w:sz w:val="24"/>
          <w:szCs w:val="24"/>
        </w:rPr>
      </w:pPr>
    </w:p>
    <w:p w14:paraId="7AE1069D" w14:textId="77777777" w:rsidR="00896733" w:rsidRPr="000B73FE" w:rsidRDefault="00EB2BF5">
      <w:pPr>
        <w:spacing w:after="0" w:line="240" w:lineRule="auto"/>
        <w:ind w:hanging="709"/>
        <w:jc w:val="center"/>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Rīgā</w:t>
      </w:r>
    </w:p>
    <w:p w14:paraId="25C7A1C3" w14:textId="77777777" w:rsidR="00896733" w:rsidRPr="000B73FE" w:rsidRDefault="00896733">
      <w:pPr>
        <w:spacing w:after="0" w:line="240" w:lineRule="auto"/>
        <w:rPr>
          <w:rFonts w:ascii="Times New Roman" w:eastAsia="Times New Roman" w:hAnsi="Times New Roman" w:cs="Times New Roman"/>
          <w:sz w:val="24"/>
          <w:szCs w:val="24"/>
        </w:rPr>
      </w:pPr>
    </w:p>
    <w:p w14:paraId="76956F75" w14:textId="77777777" w:rsidR="00896733" w:rsidRPr="000B73FE" w:rsidRDefault="00EB2BF5">
      <w:pPr>
        <w:spacing w:after="0" w:line="240" w:lineRule="auto"/>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2020. gada __. martā</w:t>
      </w:r>
    </w:p>
    <w:p w14:paraId="5DE1CF7E" w14:textId="77777777" w:rsidR="00896733" w:rsidRPr="000B73FE" w:rsidRDefault="00896733">
      <w:pPr>
        <w:spacing w:after="0" w:line="240" w:lineRule="auto"/>
        <w:ind w:hanging="709"/>
        <w:jc w:val="both"/>
        <w:rPr>
          <w:rFonts w:ascii="Times New Roman" w:eastAsia="Times New Roman" w:hAnsi="Times New Roman" w:cs="Times New Roman"/>
          <w:sz w:val="24"/>
          <w:szCs w:val="24"/>
        </w:rPr>
      </w:pPr>
    </w:p>
    <w:p w14:paraId="3AE1F582" w14:textId="77777777" w:rsidR="00896733" w:rsidRPr="000B73FE" w:rsidRDefault="00EB2BF5">
      <w:pPr>
        <w:spacing w:after="0" w:line="240" w:lineRule="auto"/>
        <w:ind w:firstLine="680"/>
        <w:jc w:val="both"/>
        <w:rPr>
          <w:rFonts w:ascii="Times New Roman" w:eastAsia="Times New Roman" w:hAnsi="Times New Roman" w:cs="Times New Roman"/>
          <w:sz w:val="24"/>
          <w:szCs w:val="24"/>
        </w:rPr>
      </w:pPr>
      <w:r w:rsidRPr="000B73FE">
        <w:rPr>
          <w:rFonts w:ascii="Times New Roman" w:eastAsia="Times New Roman" w:hAnsi="Times New Roman" w:cs="Times New Roman"/>
          <w:b/>
          <w:sz w:val="24"/>
          <w:szCs w:val="24"/>
        </w:rPr>
        <w:t>Rīgas domes Izglītības, kultūras un sporta departaments,</w:t>
      </w:r>
      <w:r w:rsidRPr="000B73FE">
        <w:rPr>
          <w:rFonts w:ascii="Times New Roman" w:eastAsia="Times New Roman" w:hAnsi="Times New Roman" w:cs="Times New Roman"/>
          <w:sz w:val="24"/>
          <w:szCs w:val="24"/>
        </w:rPr>
        <w:t xml:space="preserve"> tā direktora </w:t>
      </w:r>
      <w:proofErr w:type="spellStart"/>
      <w:r w:rsidRPr="000B73FE">
        <w:rPr>
          <w:rFonts w:ascii="Times New Roman" w:eastAsia="Times New Roman" w:hAnsi="Times New Roman" w:cs="Times New Roman"/>
          <w:sz w:val="24"/>
          <w:szCs w:val="24"/>
        </w:rPr>
        <w:t>p.i</w:t>
      </w:r>
      <w:proofErr w:type="spellEnd"/>
      <w:r w:rsidRPr="000B73FE">
        <w:rPr>
          <w:rFonts w:ascii="Times New Roman" w:eastAsia="Times New Roman" w:hAnsi="Times New Roman" w:cs="Times New Roman"/>
          <w:sz w:val="24"/>
          <w:szCs w:val="24"/>
        </w:rPr>
        <w:t xml:space="preserve">. Ivara </w:t>
      </w:r>
      <w:proofErr w:type="spellStart"/>
      <w:r w:rsidRPr="000B73FE">
        <w:rPr>
          <w:rFonts w:ascii="Times New Roman" w:eastAsia="Times New Roman" w:hAnsi="Times New Roman" w:cs="Times New Roman"/>
          <w:sz w:val="24"/>
          <w:szCs w:val="24"/>
        </w:rPr>
        <w:t>Balamovska</w:t>
      </w:r>
      <w:proofErr w:type="spellEnd"/>
      <w:r w:rsidRPr="000B73FE">
        <w:rPr>
          <w:rFonts w:ascii="Times New Roman" w:eastAsia="Times New Roman" w:hAnsi="Times New Roman" w:cs="Times New Roman"/>
          <w:sz w:val="24"/>
          <w:szCs w:val="24"/>
        </w:rPr>
        <w:t xml:space="preserve"> personā, kurš rīkojas saskaņā ar Rīgas domes 2011. gada 1. marta saistošo noteikumu Nr. 114 “Rīgas pilsētas pašvaldības nolikums” 110. punktu un Rīgas domes 2009. gada 17. decembra nolikuma Nr. 36 “Rīgas domes Izglītības, kultūras un sporta departamenta nolikums” 15.3.6. apakšpunktu, turpmāk – Pasūtītājs, no vienas puses, un </w:t>
      </w:r>
    </w:p>
    <w:p w14:paraId="099442D0" w14:textId="77777777" w:rsidR="00896733" w:rsidRPr="000B73FE" w:rsidRDefault="00EB2BF5">
      <w:pPr>
        <w:spacing w:after="0" w:line="240" w:lineRule="auto"/>
        <w:ind w:firstLine="680"/>
        <w:jc w:val="both"/>
        <w:rPr>
          <w:rFonts w:ascii="Times New Roman" w:eastAsia="Times New Roman" w:hAnsi="Times New Roman" w:cs="Times New Roman"/>
          <w:sz w:val="24"/>
          <w:szCs w:val="24"/>
        </w:rPr>
      </w:pPr>
      <w:r w:rsidRPr="000B73FE">
        <w:rPr>
          <w:rFonts w:ascii="Times New Roman" w:eastAsia="Times New Roman" w:hAnsi="Times New Roman" w:cs="Times New Roman"/>
          <w:b/>
          <w:sz w:val="24"/>
          <w:szCs w:val="24"/>
        </w:rPr>
        <w:t>SIA “</w:t>
      </w:r>
      <w:proofErr w:type="spellStart"/>
      <w:r w:rsidRPr="000B73FE">
        <w:rPr>
          <w:rFonts w:ascii="Times New Roman" w:eastAsia="Times New Roman" w:hAnsi="Times New Roman" w:cs="Times New Roman"/>
          <w:b/>
          <w:sz w:val="24"/>
          <w:szCs w:val="24"/>
        </w:rPr>
        <w:t>Clear</w:t>
      </w:r>
      <w:proofErr w:type="spellEnd"/>
      <w:r w:rsidRPr="000B73FE">
        <w:rPr>
          <w:rFonts w:ascii="Times New Roman" w:eastAsia="Times New Roman" w:hAnsi="Times New Roman" w:cs="Times New Roman"/>
          <w:b/>
          <w:sz w:val="24"/>
          <w:szCs w:val="24"/>
        </w:rPr>
        <w:t xml:space="preserve"> </w:t>
      </w:r>
      <w:proofErr w:type="spellStart"/>
      <w:r w:rsidRPr="000B73FE">
        <w:rPr>
          <w:rFonts w:ascii="Times New Roman" w:eastAsia="Times New Roman" w:hAnsi="Times New Roman" w:cs="Times New Roman"/>
          <w:b/>
          <w:sz w:val="24"/>
          <w:szCs w:val="24"/>
        </w:rPr>
        <w:t>Channel</w:t>
      </w:r>
      <w:proofErr w:type="spellEnd"/>
      <w:r w:rsidRPr="000B73FE">
        <w:rPr>
          <w:rFonts w:ascii="Times New Roman" w:eastAsia="Times New Roman" w:hAnsi="Times New Roman" w:cs="Times New Roman"/>
          <w:b/>
          <w:sz w:val="24"/>
          <w:szCs w:val="24"/>
        </w:rPr>
        <w:t xml:space="preserve"> Latvia,</w:t>
      </w:r>
      <w:r w:rsidRPr="000B73FE">
        <w:rPr>
          <w:rFonts w:ascii="Times New Roman" w:eastAsia="Times New Roman" w:hAnsi="Times New Roman" w:cs="Times New Roman"/>
          <w:sz w:val="24"/>
          <w:szCs w:val="24"/>
        </w:rPr>
        <w:t xml:space="preserve"> reģistrācijas Nr. 40003547864, tās valdes priekšsēdētāja Jāņa Purava personā, kurš darbojas uz statūtu pamata, turpmāk – Izpildītājs, no otras puses, kopā sauktas – Puses, katra atsevišķi – Puse, </w:t>
      </w:r>
    </w:p>
    <w:p w14:paraId="17D3DD16" w14:textId="77777777" w:rsidR="00896733" w:rsidRPr="000B73FE" w:rsidRDefault="00EB2BF5">
      <w:pPr>
        <w:spacing w:after="0" w:line="240" w:lineRule="auto"/>
        <w:ind w:firstLine="680"/>
        <w:jc w:val="both"/>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pamatojoties uz Līguma 9.3. apakšpunktu, kā arī saskaņā ar Publisko iepirkumu likuma 61. panta trešās daļas 3.punktu un, ņemot vērā Ministru kabineta 12.03.2020. rīkojumu “Par ārkārtējās situācijas izsludināšanu”, ar kuru visā valsts teritorijā ir izsludināta ārkārtējā situācija, un 14.03.2020. noteiktos papildu piesardzības pasākumus, kas noteikti, lai ierobežotu Covid-19 izplatību, netiks īstenota plakātu eksponēšana attiecībā uz Lieldienu pasākumiem, kas bija plānoti no 06.04.2020. līdz 12.04.2020, vienojas veikt šādus grozījumus:</w:t>
      </w:r>
    </w:p>
    <w:p w14:paraId="35D55F52" w14:textId="77777777" w:rsidR="00896733" w:rsidRPr="000B73FE" w:rsidRDefault="00896733">
      <w:pPr>
        <w:spacing w:after="0" w:line="240" w:lineRule="auto"/>
        <w:ind w:firstLine="680"/>
        <w:jc w:val="both"/>
        <w:rPr>
          <w:rFonts w:ascii="Times New Roman" w:eastAsia="Times New Roman" w:hAnsi="Times New Roman" w:cs="Times New Roman"/>
          <w:sz w:val="24"/>
          <w:szCs w:val="24"/>
        </w:rPr>
      </w:pPr>
    </w:p>
    <w:p w14:paraId="55B6ADD2" w14:textId="77777777" w:rsidR="00896733" w:rsidRPr="000B73FE" w:rsidRDefault="00EB2BF5">
      <w:pPr>
        <w:spacing w:after="0" w:line="240" w:lineRule="auto"/>
        <w:jc w:val="both"/>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1.   Izteikt Līguma 3.1. apakšpunktu šādā redakcijā:</w:t>
      </w:r>
    </w:p>
    <w:p w14:paraId="5C3733BE" w14:textId="77777777" w:rsidR="00896733" w:rsidRDefault="00EB2BF5">
      <w:pPr>
        <w:tabs>
          <w:tab w:val="left" w:pos="1146"/>
        </w:tabs>
        <w:spacing w:after="0" w:line="240" w:lineRule="auto"/>
        <w:jc w:val="both"/>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“3.1. Līguma kopējā summa saskaņā ar Izpildītāja iesniegto Tehnisko specifikāciju un Tehnisko un finanšu piedāvājumu Iepirkumā ir EUR </w:t>
      </w:r>
      <w:r w:rsidRPr="000B73FE">
        <w:rPr>
          <w:rFonts w:ascii="Times New Roman" w:eastAsia="Times New Roman" w:hAnsi="Times New Roman" w:cs="Times New Roman"/>
          <w:b/>
          <w:sz w:val="24"/>
          <w:szCs w:val="24"/>
        </w:rPr>
        <w:t>16122,65</w:t>
      </w:r>
      <w:r w:rsidRPr="000B73FE">
        <w:rPr>
          <w:rFonts w:ascii="Times New Roman" w:eastAsia="Times New Roman" w:hAnsi="Times New Roman" w:cs="Times New Roman"/>
          <w:sz w:val="24"/>
          <w:szCs w:val="24"/>
        </w:rPr>
        <w:t xml:space="preserve"> (sešpadsmit tūkstoši viens simts divdesmit divi </w:t>
      </w:r>
      <w:proofErr w:type="spellStart"/>
      <w:r w:rsidRPr="000B73FE">
        <w:rPr>
          <w:rFonts w:ascii="Times New Roman" w:eastAsia="Times New Roman" w:hAnsi="Times New Roman" w:cs="Times New Roman"/>
          <w:i/>
          <w:sz w:val="24"/>
          <w:szCs w:val="24"/>
        </w:rPr>
        <w:t>euro</w:t>
      </w:r>
      <w:proofErr w:type="spellEnd"/>
      <w:r w:rsidRPr="000B73FE">
        <w:rPr>
          <w:rFonts w:ascii="Times New Roman" w:eastAsia="Times New Roman" w:hAnsi="Times New Roman" w:cs="Times New Roman"/>
          <w:sz w:val="24"/>
          <w:szCs w:val="24"/>
        </w:rPr>
        <w:t xml:space="preserve"> un 65 centi), kas sastāv no pamatsummas EUR </w:t>
      </w:r>
      <w:r w:rsidRPr="000B73FE">
        <w:rPr>
          <w:rFonts w:ascii="Times New Roman" w:eastAsia="Times New Roman" w:hAnsi="Times New Roman" w:cs="Times New Roman"/>
          <w:b/>
          <w:color w:val="000000"/>
          <w:sz w:val="24"/>
          <w:szCs w:val="24"/>
        </w:rPr>
        <w:t>13324,</w:t>
      </w:r>
      <w:r>
        <w:rPr>
          <w:rFonts w:ascii="Times New Roman" w:eastAsia="Times New Roman" w:hAnsi="Times New Roman" w:cs="Times New Roman"/>
          <w:b/>
          <w:color w:val="000000"/>
          <w:sz w:val="24"/>
          <w:szCs w:val="24"/>
        </w:rPr>
        <w:t>50</w:t>
      </w:r>
      <w:r w:rsidRPr="000B73FE">
        <w:rPr>
          <w:rFonts w:ascii="Times New Roman" w:eastAsia="Times New Roman" w:hAnsi="Times New Roman" w:cs="Times New Roman"/>
          <w:sz w:val="24"/>
          <w:szCs w:val="24"/>
          <w:shd w:val="clear" w:color="auto" w:fill="FFFF00"/>
        </w:rPr>
        <w:t xml:space="preserve"> </w:t>
      </w:r>
      <w:r w:rsidRPr="000B73FE">
        <w:rPr>
          <w:rFonts w:ascii="Times New Roman" w:eastAsia="Times New Roman" w:hAnsi="Times New Roman" w:cs="Times New Roman"/>
          <w:sz w:val="24"/>
          <w:szCs w:val="24"/>
        </w:rPr>
        <w:t xml:space="preserve">(trīspadsmit tūkstoši trīs simti divdesmit četri </w:t>
      </w:r>
      <w:proofErr w:type="spellStart"/>
      <w:r w:rsidRPr="000B73FE">
        <w:rPr>
          <w:rFonts w:ascii="Times New Roman" w:eastAsia="Times New Roman" w:hAnsi="Times New Roman" w:cs="Times New Roman"/>
          <w:i/>
          <w:sz w:val="24"/>
          <w:szCs w:val="24"/>
        </w:rPr>
        <w:t>euro</w:t>
      </w:r>
      <w:proofErr w:type="spellEnd"/>
      <w:r w:rsidRPr="000B73FE">
        <w:rPr>
          <w:rFonts w:ascii="Times New Roman" w:eastAsia="Times New Roman" w:hAnsi="Times New Roman" w:cs="Times New Roman"/>
          <w:sz w:val="24"/>
          <w:szCs w:val="24"/>
        </w:rPr>
        <w:t xml:space="preserve"> un </w:t>
      </w:r>
      <w:r>
        <w:rPr>
          <w:rFonts w:ascii="Times New Roman" w:eastAsia="Times New Roman" w:hAnsi="Times New Roman" w:cs="Times New Roman"/>
          <w:sz w:val="24"/>
          <w:szCs w:val="24"/>
        </w:rPr>
        <w:t>50</w:t>
      </w:r>
      <w:r w:rsidRPr="000B73FE">
        <w:rPr>
          <w:rFonts w:ascii="Times New Roman" w:eastAsia="Times New Roman" w:hAnsi="Times New Roman" w:cs="Times New Roman"/>
          <w:sz w:val="24"/>
          <w:szCs w:val="24"/>
        </w:rPr>
        <w:t xml:space="preserve"> centi) un 21% (divdesmit viens procents) pievienotās vērtības nodokļa EUR </w:t>
      </w:r>
      <w:r w:rsidRPr="000B73FE">
        <w:rPr>
          <w:rFonts w:ascii="Times New Roman" w:eastAsia="Times New Roman" w:hAnsi="Times New Roman" w:cs="Times New Roman"/>
          <w:b/>
          <w:color w:val="000000"/>
          <w:sz w:val="24"/>
          <w:szCs w:val="24"/>
        </w:rPr>
        <w:t>2798,15</w:t>
      </w:r>
      <w:r w:rsidRPr="000B73FE">
        <w:rPr>
          <w:rFonts w:ascii="Times New Roman" w:eastAsia="Times New Roman" w:hAnsi="Times New Roman" w:cs="Times New Roman"/>
          <w:sz w:val="24"/>
          <w:szCs w:val="24"/>
        </w:rPr>
        <w:t xml:space="preserve"> (divi tūkstoši septiņi simti deviņdesmit astoņi </w:t>
      </w:r>
      <w:proofErr w:type="spellStart"/>
      <w:r w:rsidRPr="000B73FE">
        <w:rPr>
          <w:rFonts w:ascii="Times New Roman" w:eastAsia="Times New Roman" w:hAnsi="Times New Roman" w:cs="Times New Roman"/>
          <w:i/>
          <w:sz w:val="24"/>
          <w:szCs w:val="24"/>
        </w:rPr>
        <w:t>euro</w:t>
      </w:r>
      <w:proofErr w:type="spellEnd"/>
      <w:r w:rsidRPr="000B73FE">
        <w:rPr>
          <w:rFonts w:ascii="Times New Roman" w:eastAsia="Times New Roman" w:hAnsi="Times New Roman" w:cs="Times New Roman"/>
          <w:sz w:val="24"/>
          <w:szCs w:val="24"/>
        </w:rPr>
        <w:t xml:space="preserve"> un 15 centi).”</w:t>
      </w:r>
    </w:p>
    <w:p w14:paraId="4CC8F3CA" w14:textId="77777777" w:rsidR="000B73FE" w:rsidRPr="000B73FE" w:rsidRDefault="000B73FE">
      <w:pPr>
        <w:tabs>
          <w:tab w:val="left" w:pos="1146"/>
        </w:tabs>
        <w:spacing w:after="0" w:line="240" w:lineRule="auto"/>
        <w:jc w:val="both"/>
        <w:rPr>
          <w:rFonts w:ascii="Times New Roman" w:eastAsia="Times New Roman" w:hAnsi="Times New Roman" w:cs="Times New Roman"/>
          <w:sz w:val="24"/>
          <w:szCs w:val="24"/>
        </w:rPr>
      </w:pPr>
    </w:p>
    <w:p w14:paraId="543D5836" w14:textId="77777777" w:rsidR="00896733" w:rsidRDefault="00EB2BF5">
      <w:pPr>
        <w:tabs>
          <w:tab w:val="left" w:pos="1146"/>
        </w:tabs>
        <w:spacing w:after="0" w:line="240" w:lineRule="auto"/>
        <w:jc w:val="both"/>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2. Sākotnējā Līguma kopējā summa (ieskaitot PVN) pirms grozījumiem EUR 17914,05, pēc - EUR 16122,65, grozījumu vērtība ir Līguma samazinājums – 10%.</w:t>
      </w:r>
    </w:p>
    <w:p w14:paraId="506DE290" w14:textId="77777777" w:rsidR="000B73FE" w:rsidRPr="000B73FE" w:rsidRDefault="000B73FE">
      <w:pPr>
        <w:tabs>
          <w:tab w:val="left" w:pos="1146"/>
        </w:tabs>
        <w:spacing w:after="0" w:line="240" w:lineRule="auto"/>
        <w:jc w:val="both"/>
        <w:rPr>
          <w:rFonts w:ascii="Times New Roman" w:eastAsia="Times New Roman" w:hAnsi="Times New Roman" w:cs="Times New Roman"/>
          <w:sz w:val="24"/>
          <w:szCs w:val="24"/>
        </w:rPr>
      </w:pPr>
    </w:p>
    <w:p w14:paraId="22998B13" w14:textId="77777777" w:rsidR="00896733" w:rsidRPr="000B73FE" w:rsidRDefault="00EB2BF5">
      <w:pPr>
        <w:tabs>
          <w:tab w:val="left" w:pos="1146"/>
        </w:tabs>
        <w:spacing w:after="0" w:line="240" w:lineRule="auto"/>
        <w:jc w:val="both"/>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3. Izteikt Līguma Pielikuma “TEHNISKĀ SPECIFIKĀCIJA UN FINANŠU PIEDĀVĀJUMS” 7. punktu šādā redakcijā:</w:t>
      </w:r>
    </w:p>
    <w:p w14:paraId="77792CCB" w14:textId="77777777" w:rsidR="00896733" w:rsidRPr="000B73FE" w:rsidRDefault="00EB2BF5">
      <w:pPr>
        <w:spacing w:after="0" w:line="240" w:lineRule="auto"/>
        <w:ind w:left="680"/>
        <w:jc w:val="both"/>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7. Plakātu eksponēšanas laiks:</w:t>
      </w:r>
    </w:p>
    <w:tbl>
      <w:tblPr>
        <w:tblW w:w="0" w:type="auto"/>
        <w:tblInd w:w="8" w:type="dxa"/>
        <w:tblCellMar>
          <w:left w:w="10" w:type="dxa"/>
          <w:right w:w="10" w:type="dxa"/>
        </w:tblCellMar>
        <w:tblLook w:val="0000" w:firstRow="0" w:lastRow="0" w:firstColumn="0" w:lastColumn="0" w:noHBand="0" w:noVBand="0"/>
      </w:tblPr>
      <w:tblGrid>
        <w:gridCol w:w="849"/>
        <w:gridCol w:w="3105"/>
        <w:gridCol w:w="1043"/>
        <w:gridCol w:w="1087"/>
        <w:gridCol w:w="1151"/>
        <w:gridCol w:w="1716"/>
      </w:tblGrid>
      <w:tr w:rsidR="00896733" w:rsidRPr="000B73FE" w14:paraId="454222DF" w14:textId="77777777">
        <w:trPr>
          <w:trHeight w:val="1"/>
        </w:trPr>
        <w:tc>
          <w:tcPr>
            <w:tcW w:w="86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EB8603A" w14:textId="77777777" w:rsidR="00896733" w:rsidRPr="000B73FE" w:rsidRDefault="00EB2BF5">
            <w:pPr>
              <w:spacing w:after="0" w:line="240" w:lineRule="auto"/>
              <w:jc w:val="both"/>
              <w:rPr>
                <w:rFonts w:ascii="Times New Roman" w:hAnsi="Times New Roman" w:cs="Times New Roman"/>
                <w:sz w:val="24"/>
                <w:szCs w:val="24"/>
              </w:rPr>
            </w:pPr>
            <w:proofErr w:type="spellStart"/>
            <w:r w:rsidRPr="000B73FE">
              <w:rPr>
                <w:rFonts w:ascii="Times New Roman" w:eastAsia="Times New Roman" w:hAnsi="Times New Roman" w:cs="Times New Roman"/>
                <w:b/>
                <w:sz w:val="24"/>
                <w:szCs w:val="24"/>
              </w:rPr>
              <w:t>Nr.p.k</w:t>
            </w:r>
            <w:proofErr w:type="spellEnd"/>
            <w:r w:rsidRPr="000B73FE">
              <w:rPr>
                <w:rFonts w:ascii="Times New Roman" w:eastAsia="Times New Roman" w:hAnsi="Times New Roman" w:cs="Times New Roman"/>
                <w:b/>
                <w:sz w:val="24"/>
                <w:szCs w:val="24"/>
              </w:rPr>
              <w:t>.</w:t>
            </w:r>
            <w:r w:rsidRPr="000B73FE">
              <w:rPr>
                <w:rFonts w:ascii="Times New Roman" w:eastAsia="Times New Roman" w:hAnsi="Times New Roman" w:cs="Times New Roman"/>
                <w:sz w:val="24"/>
                <w:szCs w:val="24"/>
              </w:rPr>
              <w:t> </w:t>
            </w:r>
          </w:p>
        </w:tc>
        <w:tc>
          <w:tcPr>
            <w:tcW w:w="38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2509446"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b/>
                <w:sz w:val="24"/>
                <w:szCs w:val="24"/>
              </w:rPr>
              <w:t>Pasākuma kampaņas nosaukums</w:t>
            </w:r>
            <w:r w:rsidRPr="000B73FE">
              <w:rPr>
                <w:rFonts w:ascii="Times New Roman" w:eastAsia="Times New Roman" w:hAnsi="Times New Roman" w:cs="Times New Roman"/>
                <w:sz w:val="24"/>
                <w:szCs w:val="24"/>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854F700"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b/>
                <w:sz w:val="24"/>
                <w:szCs w:val="24"/>
              </w:rPr>
              <w:t>Vienību skaits</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E94B656"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b/>
                <w:sz w:val="24"/>
                <w:szCs w:val="24"/>
              </w:rPr>
              <w:t>Eksponē-</w:t>
            </w:r>
            <w:proofErr w:type="spellStart"/>
            <w:r w:rsidRPr="000B73FE">
              <w:rPr>
                <w:rFonts w:ascii="Times New Roman" w:eastAsia="Times New Roman" w:hAnsi="Times New Roman" w:cs="Times New Roman"/>
                <w:b/>
                <w:sz w:val="24"/>
                <w:szCs w:val="24"/>
              </w:rPr>
              <w:t>šanas</w:t>
            </w:r>
            <w:proofErr w:type="spellEnd"/>
            <w:r w:rsidRPr="000B73FE">
              <w:rPr>
                <w:rFonts w:ascii="Times New Roman" w:eastAsia="Times New Roman" w:hAnsi="Times New Roman" w:cs="Times New Roman"/>
                <w:b/>
                <w:sz w:val="24"/>
                <w:szCs w:val="24"/>
              </w:rPr>
              <w:t xml:space="preserve"> laiks (no un līdz ieskaitot)</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A23CAF9"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b/>
                <w:sz w:val="24"/>
                <w:szCs w:val="24"/>
              </w:rPr>
              <w:t>Vienas vienības cena dienā bez PVN</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A2E821B"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b/>
                <w:sz w:val="24"/>
                <w:szCs w:val="24"/>
              </w:rPr>
              <w:t>Kopējā kampaņas   cena EUR bez PVN</w:t>
            </w:r>
          </w:p>
        </w:tc>
      </w:tr>
      <w:tr w:rsidR="00896733" w:rsidRPr="000B73FE" w14:paraId="74C30BB7" w14:textId="77777777">
        <w:trPr>
          <w:trHeight w:val="1"/>
        </w:trPr>
        <w:tc>
          <w:tcPr>
            <w:tcW w:w="86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5408F6B" w14:textId="77777777" w:rsidR="00896733" w:rsidRPr="000B73FE" w:rsidRDefault="00EB2BF5">
            <w:pPr>
              <w:spacing w:after="0" w:line="240" w:lineRule="auto"/>
              <w:ind w:left="360"/>
              <w:jc w:val="both"/>
              <w:rPr>
                <w:rFonts w:ascii="Times New Roman" w:hAnsi="Times New Roman" w:cs="Times New Roman"/>
                <w:sz w:val="24"/>
                <w:szCs w:val="24"/>
              </w:rPr>
            </w:pPr>
            <w:r w:rsidRPr="000B73FE">
              <w:rPr>
                <w:rFonts w:ascii="Times New Roman" w:eastAsia="Times New Roman" w:hAnsi="Times New Roman" w:cs="Times New Roman"/>
                <w:sz w:val="24"/>
                <w:szCs w:val="24"/>
              </w:rPr>
              <w:t>1. </w:t>
            </w:r>
          </w:p>
        </w:tc>
        <w:tc>
          <w:tcPr>
            <w:tcW w:w="38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8CABD82"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Latvijas Republikas Neatkarības atjaunošanas diena, no 27.04.2020. līdz 03.05.2020. ieskaitot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4D50290"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45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AD01C17"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7</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CD266A9" w14:textId="2AEFD7D1" w:rsidR="00896733" w:rsidRPr="000B73FE" w:rsidRDefault="00896733">
            <w:pPr>
              <w:spacing w:after="0" w:line="240" w:lineRule="auto"/>
              <w:jc w:val="center"/>
              <w:rPr>
                <w:rFonts w:ascii="Times New Roman" w:hAnsi="Times New Roman" w:cs="Times New Roman"/>
                <w:sz w:val="24"/>
                <w:szCs w:val="24"/>
              </w:rPr>
            </w:pPr>
            <w:bookmarkStart w:id="0" w:name="_GoBack"/>
            <w:bookmarkEnd w:id="0"/>
          </w:p>
        </w:tc>
        <w:tc>
          <w:tcPr>
            <w:tcW w:w="140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EB9461A" w14:textId="011F5AED" w:rsidR="00896733" w:rsidRPr="000B73FE" w:rsidRDefault="00896733">
            <w:pPr>
              <w:spacing w:after="0" w:line="240" w:lineRule="auto"/>
              <w:jc w:val="center"/>
              <w:rPr>
                <w:rFonts w:ascii="Times New Roman" w:hAnsi="Times New Roman" w:cs="Times New Roman"/>
                <w:sz w:val="24"/>
                <w:szCs w:val="24"/>
              </w:rPr>
            </w:pPr>
          </w:p>
        </w:tc>
      </w:tr>
      <w:tr w:rsidR="00896733" w:rsidRPr="000B73FE" w14:paraId="3A6B2B07" w14:textId="77777777">
        <w:trPr>
          <w:trHeight w:val="1"/>
        </w:trPr>
        <w:tc>
          <w:tcPr>
            <w:tcW w:w="86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9A55520" w14:textId="77777777" w:rsidR="00896733" w:rsidRPr="000B73FE" w:rsidRDefault="00EB2BF5">
            <w:pPr>
              <w:spacing w:after="0" w:line="240" w:lineRule="auto"/>
              <w:ind w:left="360"/>
              <w:jc w:val="both"/>
              <w:rPr>
                <w:rFonts w:ascii="Times New Roman" w:hAnsi="Times New Roman" w:cs="Times New Roman"/>
                <w:sz w:val="24"/>
                <w:szCs w:val="24"/>
              </w:rPr>
            </w:pPr>
            <w:r w:rsidRPr="000B73FE">
              <w:rPr>
                <w:rFonts w:ascii="Times New Roman" w:eastAsia="Times New Roman" w:hAnsi="Times New Roman" w:cs="Times New Roman"/>
                <w:sz w:val="24"/>
                <w:szCs w:val="24"/>
              </w:rPr>
              <w:t>2. </w:t>
            </w:r>
          </w:p>
        </w:tc>
        <w:tc>
          <w:tcPr>
            <w:tcW w:w="38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6BFB152"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Līgo pasākumi Rīgā, no 15.06.2020. līdz 21.06.2020. ieskaitot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3028B02"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45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39B74A3"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7</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DD671CC" w14:textId="38217BB5" w:rsidR="00896733" w:rsidRPr="000B73FE" w:rsidRDefault="00896733">
            <w:pPr>
              <w:spacing w:after="0" w:line="240" w:lineRule="auto"/>
              <w:jc w:val="center"/>
              <w:rPr>
                <w:rFonts w:ascii="Times New Roman" w:hAnsi="Times New Roman" w:cs="Times New Roman"/>
                <w:sz w:val="24"/>
                <w:szCs w:val="24"/>
              </w:rPr>
            </w:pP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6D87E1F" w14:textId="4E373CBA" w:rsidR="00896733" w:rsidRPr="000B73FE" w:rsidRDefault="00896733">
            <w:pPr>
              <w:spacing w:after="0" w:line="240" w:lineRule="auto"/>
              <w:jc w:val="center"/>
              <w:rPr>
                <w:rFonts w:ascii="Times New Roman" w:hAnsi="Times New Roman" w:cs="Times New Roman"/>
                <w:sz w:val="24"/>
                <w:szCs w:val="24"/>
              </w:rPr>
            </w:pPr>
          </w:p>
        </w:tc>
      </w:tr>
      <w:tr w:rsidR="00896733" w:rsidRPr="000B73FE" w14:paraId="3EDD1856" w14:textId="77777777">
        <w:trPr>
          <w:trHeight w:val="1"/>
        </w:trPr>
        <w:tc>
          <w:tcPr>
            <w:tcW w:w="86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C5E7520" w14:textId="77777777" w:rsidR="00896733" w:rsidRPr="000B73FE" w:rsidRDefault="00EB2BF5">
            <w:pPr>
              <w:spacing w:after="0" w:line="240" w:lineRule="auto"/>
              <w:ind w:left="360"/>
              <w:jc w:val="both"/>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lastRenderedPageBreak/>
              <w:t>3. </w:t>
            </w:r>
          </w:p>
          <w:p w14:paraId="0EC00E57"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 </w:t>
            </w:r>
          </w:p>
        </w:tc>
        <w:tc>
          <w:tcPr>
            <w:tcW w:w="38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8F2DE8B"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Rīgas svētki, no 10.08.2020. līdz 16.08.2020. ieskaitot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8506A84"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45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01312B5"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7</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6C191E7" w14:textId="755BD089" w:rsidR="00896733" w:rsidRPr="000B73FE" w:rsidRDefault="00896733">
            <w:pPr>
              <w:spacing w:after="0" w:line="240" w:lineRule="auto"/>
              <w:jc w:val="center"/>
              <w:rPr>
                <w:rFonts w:ascii="Times New Roman" w:hAnsi="Times New Roman" w:cs="Times New Roman"/>
                <w:sz w:val="24"/>
                <w:szCs w:val="24"/>
              </w:rPr>
            </w:pP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B073730" w14:textId="77939F86" w:rsidR="00896733" w:rsidRPr="000B73FE" w:rsidRDefault="00896733">
            <w:pPr>
              <w:spacing w:after="0" w:line="240" w:lineRule="auto"/>
              <w:jc w:val="center"/>
              <w:rPr>
                <w:rFonts w:ascii="Times New Roman" w:hAnsi="Times New Roman" w:cs="Times New Roman"/>
                <w:sz w:val="24"/>
                <w:szCs w:val="24"/>
              </w:rPr>
            </w:pPr>
          </w:p>
        </w:tc>
      </w:tr>
      <w:tr w:rsidR="00896733" w:rsidRPr="000B73FE" w14:paraId="2B7AF45B" w14:textId="77777777">
        <w:trPr>
          <w:trHeight w:val="1"/>
        </w:trPr>
        <w:tc>
          <w:tcPr>
            <w:tcW w:w="86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2FB644C" w14:textId="77777777" w:rsidR="00896733" w:rsidRPr="000B73FE" w:rsidRDefault="00EB2BF5">
            <w:pPr>
              <w:spacing w:after="0" w:line="240" w:lineRule="auto"/>
              <w:ind w:left="360"/>
              <w:jc w:val="both"/>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4. </w:t>
            </w:r>
          </w:p>
          <w:p w14:paraId="41439545"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 </w:t>
            </w:r>
          </w:p>
        </w:tc>
        <w:tc>
          <w:tcPr>
            <w:tcW w:w="38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8C253DA"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Baltā nakts, no 31.08.2020. līdz 06.09.2020. ieskaitot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217BF97"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45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41DE530"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7</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9EE3A68" w14:textId="0DFF3DFC" w:rsidR="00896733" w:rsidRPr="000B73FE" w:rsidRDefault="00896733">
            <w:pPr>
              <w:spacing w:after="0" w:line="240" w:lineRule="auto"/>
              <w:jc w:val="center"/>
              <w:rPr>
                <w:rFonts w:ascii="Times New Roman" w:hAnsi="Times New Roman" w:cs="Times New Roman"/>
                <w:sz w:val="24"/>
                <w:szCs w:val="24"/>
              </w:rPr>
            </w:pP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34364B2" w14:textId="5E5C1785" w:rsidR="00896733" w:rsidRPr="000B73FE" w:rsidRDefault="00896733">
            <w:pPr>
              <w:spacing w:after="0" w:line="240" w:lineRule="auto"/>
              <w:jc w:val="center"/>
              <w:rPr>
                <w:rFonts w:ascii="Times New Roman" w:hAnsi="Times New Roman" w:cs="Times New Roman"/>
                <w:sz w:val="24"/>
                <w:szCs w:val="24"/>
              </w:rPr>
            </w:pPr>
          </w:p>
        </w:tc>
      </w:tr>
      <w:tr w:rsidR="00896733" w:rsidRPr="000B73FE" w14:paraId="59B5B7E1" w14:textId="77777777">
        <w:trPr>
          <w:trHeight w:val="1"/>
        </w:trPr>
        <w:tc>
          <w:tcPr>
            <w:tcW w:w="86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6FD0BEB" w14:textId="77777777" w:rsidR="00896733" w:rsidRPr="000B73FE" w:rsidRDefault="00EB2BF5">
            <w:pPr>
              <w:spacing w:after="0" w:line="240" w:lineRule="auto"/>
              <w:ind w:left="360"/>
              <w:jc w:val="both"/>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5. </w:t>
            </w:r>
          </w:p>
          <w:p w14:paraId="54BF0D70"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 </w:t>
            </w:r>
          </w:p>
        </w:tc>
        <w:tc>
          <w:tcPr>
            <w:tcW w:w="38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0735E13"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Latvijas Republikas Proklamēšanas diena, no 09.11.2020. līdz 22.11.2020. ieskaitot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4ECD752"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45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D0D2527"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14</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C572421" w14:textId="696BC423" w:rsidR="00896733" w:rsidRPr="000B73FE" w:rsidRDefault="00896733">
            <w:pPr>
              <w:spacing w:after="0" w:line="240" w:lineRule="auto"/>
              <w:jc w:val="center"/>
              <w:rPr>
                <w:rFonts w:ascii="Times New Roman" w:hAnsi="Times New Roman" w:cs="Times New Roman"/>
                <w:sz w:val="24"/>
                <w:szCs w:val="24"/>
              </w:rPr>
            </w:pP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611F375" w14:textId="13F998E8" w:rsidR="00896733" w:rsidRPr="000B73FE" w:rsidRDefault="00896733">
            <w:pPr>
              <w:spacing w:after="0" w:line="240" w:lineRule="auto"/>
              <w:jc w:val="center"/>
              <w:rPr>
                <w:rFonts w:ascii="Times New Roman" w:hAnsi="Times New Roman" w:cs="Times New Roman"/>
                <w:sz w:val="24"/>
                <w:szCs w:val="24"/>
              </w:rPr>
            </w:pPr>
          </w:p>
        </w:tc>
      </w:tr>
      <w:tr w:rsidR="00896733" w:rsidRPr="000B73FE" w14:paraId="1E2AA98D" w14:textId="77777777">
        <w:trPr>
          <w:trHeight w:val="1"/>
        </w:trPr>
        <w:tc>
          <w:tcPr>
            <w:tcW w:w="86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B5C0D8E" w14:textId="77777777" w:rsidR="00896733" w:rsidRPr="000B73FE" w:rsidRDefault="00EB2BF5">
            <w:pPr>
              <w:spacing w:after="0" w:line="240" w:lineRule="auto"/>
              <w:ind w:left="360"/>
              <w:jc w:val="both"/>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6. </w:t>
            </w:r>
          </w:p>
          <w:p w14:paraId="0580B9C3"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 </w:t>
            </w:r>
          </w:p>
        </w:tc>
        <w:tc>
          <w:tcPr>
            <w:tcW w:w="38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66311A8"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Staro Rīga, no 16.11.2020. līdz 22.11.2020. ieskaitot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1A92D21"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45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2350F53"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7</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899AFCD" w14:textId="32B24875" w:rsidR="00896733" w:rsidRPr="000B73FE" w:rsidRDefault="00896733">
            <w:pPr>
              <w:spacing w:after="0" w:line="240" w:lineRule="auto"/>
              <w:jc w:val="center"/>
              <w:rPr>
                <w:rFonts w:ascii="Times New Roman" w:hAnsi="Times New Roman" w:cs="Times New Roman"/>
                <w:sz w:val="24"/>
                <w:szCs w:val="24"/>
              </w:rPr>
            </w:pP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AFA44B4" w14:textId="665053F8" w:rsidR="00896733" w:rsidRPr="000B73FE" w:rsidRDefault="00896733">
            <w:pPr>
              <w:spacing w:after="0" w:line="240" w:lineRule="auto"/>
              <w:jc w:val="center"/>
              <w:rPr>
                <w:rFonts w:ascii="Times New Roman" w:hAnsi="Times New Roman" w:cs="Times New Roman"/>
                <w:sz w:val="24"/>
                <w:szCs w:val="24"/>
              </w:rPr>
            </w:pPr>
          </w:p>
        </w:tc>
      </w:tr>
      <w:tr w:rsidR="00896733" w:rsidRPr="000B73FE" w14:paraId="52A964EF" w14:textId="77777777">
        <w:trPr>
          <w:trHeight w:val="1"/>
        </w:trPr>
        <w:tc>
          <w:tcPr>
            <w:tcW w:w="86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5B738F2" w14:textId="77777777" w:rsidR="00896733" w:rsidRPr="000B73FE" w:rsidRDefault="00EB2BF5">
            <w:pPr>
              <w:spacing w:after="0" w:line="240" w:lineRule="auto"/>
              <w:ind w:left="360"/>
              <w:jc w:val="both"/>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7. </w:t>
            </w:r>
          </w:p>
          <w:p w14:paraId="41109AFE"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 </w:t>
            </w:r>
          </w:p>
        </w:tc>
        <w:tc>
          <w:tcPr>
            <w:tcW w:w="38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516DE83"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Ziemassvētki un Jaunais gads, no 21.12.2020. līdz 03.01.2021. ieskaitot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9631211"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45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8B90524"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14</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D0736A7" w14:textId="191AAE73" w:rsidR="00896733" w:rsidRPr="000B73FE" w:rsidRDefault="00896733">
            <w:pPr>
              <w:spacing w:after="0" w:line="240" w:lineRule="auto"/>
              <w:jc w:val="center"/>
              <w:rPr>
                <w:rFonts w:ascii="Times New Roman" w:hAnsi="Times New Roman" w:cs="Times New Roman"/>
                <w:sz w:val="24"/>
                <w:szCs w:val="24"/>
              </w:rPr>
            </w:pP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8C8992E" w14:textId="7C92718A" w:rsidR="00896733" w:rsidRPr="000B73FE" w:rsidRDefault="00896733">
            <w:pPr>
              <w:spacing w:after="0" w:line="240" w:lineRule="auto"/>
              <w:jc w:val="center"/>
              <w:rPr>
                <w:rFonts w:ascii="Times New Roman" w:hAnsi="Times New Roman" w:cs="Times New Roman"/>
                <w:sz w:val="24"/>
                <w:szCs w:val="24"/>
              </w:rPr>
            </w:pPr>
          </w:p>
        </w:tc>
      </w:tr>
      <w:tr w:rsidR="00896733" w:rsidRPr="000B73FE" w14:paraId="2F126D6B" w14:textId="77777777">
        <w:trPr>
          <w:trHeight w:val="1"/>
        </w:trPr>
        <w:tc>
          <w:tcPr>
            <w:tcW w:w="6938" w:type="dxa"/>
            <w:gridSpan w:val="4"/>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791FBE4" w14:textId="77777777" w:rsidR="00896733" w:rsidRPr="00EB2BF5" w:rsidRDefault="00EB2BF5">
            <w:pPr>
              <w:spacing w:after="0" w:line="240" w:lineRule="auto"/>
              <w:jc w:val="right"/>
              <w:rPr>
                <w:rFonts w:ascii="Times New Roman" w:hAnsi="Times New Roman" w:cs="Times New Roman"/>
                <w:sz w:val="24"/>
                <w:szCs w:val="24"/>
              </w:rPr>
            </w:pPr>
            <w:r w:rsidRPr="00EB2BF5">
              <w:rPr>
                <w:rFonts w:ascii="Times New Roman" w:eastAsia="Times New Roman" w:hAnsi="Times New Roman" w:cs="Times New Roman"/>
                <w:b/>
                <w:sz w:val="24"/>
                <w:szCs w:val="24"/>
              </w:rPr>
              <w:t>Kopējā cena EUR bez PVN</w:t>
            </w:r>
            <w:r w:rsidRPr="00EB2BF5">
              <w:rPr>
                <w:rFonts w:ascii="Times New Roman" w:eastAsia="Times New Roman" w:hAnsi="Times New Roman" w:cs="Times New Roman"/>
                <w:sz w:val="24"/>
                <w:szCs w:val="24"/>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6793637" w14:textId="77777777" w:rsidR="00896733" w:rsidRPr="00EB2BF5" w:rsidRDefault="00EB2BF5">
            <w:pPr>
              <w:spacing w:after="0" w:line="240" w:lineRule="auto"/>
              <w:jc w:val="both"/>
              <w:rPr>
                <w:rFonts w:ascii="Times New Roman" w:hAnsi="Times New Roman" w:cs="Times New Roman"/>
                <w:sz w:val="24"/>
                <w:szCs w:val="24"/>
              </w:rPr>
            </w:pPr>
            <w:r w:rsidRPr="00EB2BF5">
              <w:rPr>
                <w:rFonts w:ascii="Times New Roman" w:eastAsia="Times New Roman" w:hAnsi="Times New Roman" w:cs="Times New Roman"/>
                <w:sz w:val="24"/>
                <w:szCs w:val="24"/>
              </w:rPr>
              <w:t> </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321B466" w14:textId="77777777" w:rsidR="00896733" w:rsidRPr="000B73FE" w:rsidRDefault="00EB2BF5">
            <w:pPr>
              <w:spacing w:after="0" w:line="240" w:lineRule="auto"/>
              <w:jc w:val="center"/>
              <w:rPr>
                <w:rFonts w:ascii="Times New Roman" w:hAnsi="Times New Roman" w:cs="Times New Roman"/>
                <w:sz w:val="24"/>
                <w:szCs w:val="24"/>
              </w:rPr>
            </w:pPr>
            <w:r w:rsidRPr="00EB2BF5">
              <w:rPr>
                <w:rFonts w:ascii="Times New Roman" w:eastAsia="Times New Roman" w:hAnsi="Times New Roman" w:cs="Times New Roman"/>
                <w:sz w:val="24"/>
                <w:szCs w:val="24"/>
              </w:rPr>
              <w:t>13324,</w:t>
            </w:r>
            <w:r>
              <w:rPr>
                <w:rFonts w:ascii="Times New Roman" w:eastAsia="Times New Roman" w:hAnsi="Times New Roman" w:cs="Times New Roman"/>
                <w:sz w:val="24"/>
                <w:szCs w:val="24"/>
              </w:rPr>
              <w:t>50</w:t>
            </w:r>
          </w:p>
        </w:tc>
      </w:tr>
      <w:tr w:rsidR="00896733" w:rsidRPr="000B73FE" w14:paraId="7C3F6910" w14:textId="77777777">
        <w:trPr>
          <w:trHeight w:val="1"/>
        </w:trPr>
        <w:tc>
          <w:tcPr>
            <w:tcW w:w="6938" w:type="dxa"/>
            <w:gridSpan w:val="4"/>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0FC7CD5" w14:textId="77777777" w:rsidR="00896733" w:rsidRPr="000B73FE" w:rsidRDefault="00EB2BF5">
            <w:pPr>
              <w:spacing w:after="0" w:line="240" w:lineRule="auto"/>
              <w:jc w:val="right"/>
              <w:rPr>
                <w:rFonts w:ascii="Times New Roman" w:hAnsi="Times New Roman" w:cs="Times New Roman"/>
                <w:sz w:val="24"/>
                <w:szCs w:val="24"/>
              </w:rPr>
            </w:pPr>
            <w:r w:rsidRPr="000B73FE">
              <w:rPr>
                <w:rFonts w:ascii="Times New Roman" w:eastAsia="Times New Roman" w:hAnsi="Times New Roman" w:cs="Times New Roman"/>
                <w:b/>
                <w:sz w:val="24"/>
                <w:szCs w:val="24"/>
              </w:rPr>
              <w:t>PVN 21%</w:t>
            </w:r>
            <w:r w:rsidRPr="000B73FE">
              <w:rPr>
                <w:rFonts w:ascii="Times New Roman" w:eastAsia="Times New Roman" w:hAnsi="Times New Roman" w:cs="Times New Roman"/>
                <w:sz w:val="24"/>
                <w:szCs w:val="24"/>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14DE4DA"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 </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4514135"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 xml:space="preserve">  2798,15</w:t>
            </w:r>
          </w:p>
        </w:tc>
      </w:tr>
      <w:tr w:rsidR="00896733" w:rsidRPr="000B73FE" w14:paraId="266B4C22" w14:textId="77777777">
        <w:trPr>
          <w:trHeight w:val="1"/>
        </w:trPr>
        <w:tc>
          <w:tcPr>
            <w:tcW w:w="6938" w:type="dxa"/>
            <w:gridSpan w:val="4"/>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7AE90B6" w14:textId="77777777" w:rsidR="00896733" w:rsidRPr="000B73FE" w:rsidRDefault="00EB2BF5">
            <w:pPr>
              <w:spacing w:after="0" w:line="240" w:lineRule="auto"/>
              <w:jc w:val="right"/>
              <w:rPr>
                <w:rFonts w:ascii="Times New Roman" w:hAnsi="Times New Roman" w:cs="Times New Roman"/>
                <w:sz w:val="24"/>
                <w:szCs w:val="24"/>
              </w:rPr>
            </w:pPr>
            <w:r w:rsidRPr="000B73FE">
              <w:rPr>
                <w:rFonts w:ascii="Times New Roman" w:eastAsia="Times New Roman" w:hAnsi="Times New Roman" w:cs="Times New Roman"/>
                <w:b/>
                <w:sz w:val="24"/>
                <w:szCs w:val="24"/>
              </w:rPr>
              <w:t>Kopējā cena ar PVN</w:t>
            </w:r>
            <w:r w:rsidRPr="000B73FE">
              <w:rPr>
                <w:rFonts w:ascii="Times New Roman" w:eastAsia="Times New Roman" w:hAnsi="Times New Roman" w:cs="Times New Roman"/>
                <w:sz w:val="24"/>
                <w:szCs w:val="24"/>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EF2605E"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 </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367F693"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16122,65</w:t>
            </w:r>
          </w:p>
        </w:tc>
      </w:tr>
    </w:tbl>
    <w:p w14:paraId="7D5468F3" w14:textId="77777777" w:rsidR="00896733" w:rsidRPr="000B73FE" w:rsidRDefault="00896733">
      <w:pPr>
        <w:spacing w:after="0" w:line="240" w:lineRule="auto"/>
        <w:ind w:left="1400"/>
        <w:jc w:val="both"/>
        <w:rPr>
          <w:rFonts w:ascii="Times New Roman" w:eastAsia="Times New Roman" w:hAnsi="Times New Roman" w:cs="Times New Roman"/>
          <w:sz w:val="24"/>
          <w:szCs w:val="24"/>
          <w:u w:val="single"/>
        </w:rPr>
      </w:pPr>
    </w:p>
    <w:p w14:paraId="2A4B1FC0" w14:textId="77777777" w:rsidR="00896733" w:rsidRPr="000B73FE" w:rsidRDefault="00EB2BF5">
      <w:pPr>
        <w:spacing w:after="0" w:line="240" w:lineRule="auto"/>
        <w:ind w:firstLine="709"/>
        <w:jc w:val="both"/>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4. Šī vienošanās ir sastādīta uz 2 (divām) lapām 2 (divos) eksemplāros ar vienādu juridisku spēku, katrai Pusei pa vienam eksemplāram.</w:t>
      </w:r>
    </w:p>
    <w:p w14:paraId="1F0DCAC4" w14:textId="77777777" w:rsidR="00896733" w:rsidRPr="000B73FE" w:rsidRDefault="00EB2BF5">
      <w:pPr>
        <w:spacing w:after="0" w:line="240" w:lineRule="auto"/>
        <w:ind w:firstLine="709"/>
        <w:jc w:val="both"/>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5.  Pārējā daļā Līguma noteikumi ar šo vienošanos netiek grozīti.</w:t>
      </w:r>
    </w:p>
    <w:p w14:paraId="6F2875A6" w14:textId="77777777" w:rsidR="00896733" w:rsidRPr="000B73FE" w:rsidRDefault="00EB2BF5">
      <w:pPr>
        <w:spacing w:after="0" w:line="240" w:lineRule="auto"/>
        <w:ind w:left="710"/>
        <w:jc w:val="both"/>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6. Šī vienošanās ir 2020. gada 6. marta Pakalpojuma līguma Nr. DIKS-20-564-lī neatņemama sastāvdaļa</w:t>
      </w:r>
    </w:p>
    <w:p w14:paraId="7E366733" w14:textId="77777777" w:rsidR="00896733" w:rsidRPr="000B73FE" w:rsidRDefault="00896733">
      <w:pPr>
        <w:spacing w:after="0" w:line="240" w:lineRule="auto"/>
        <w:jc w:val="both"/>
        <w:rPr>
          <w:rFonts w:ascii="Times New Roman" w:eastAsia="Times New Roman" w:hAnsi="Times New Roman" w:cs="Times New Roman"/>
          <w:sz w:val="24"/>
          <w:szCs w:val="24"/>
        </w:rPr>
      </w:pPr>
    </w:p>
    <w:p w14:paraId="08220026" w14:textId="77777777" w:rsidR="00896733" w:rsidRPr="000B73FE" w:rsidRDefault="00EB2BF5">
      <w:pPr>
        <w:spacing w:after="0" w:line="240" w:lineRule="auto"/>
        <w:ind w:left="360"/>
        <w:jc w:val="center"/>
        <w:rPr>
          <w:rFonts w:ascii="Times New Roman" w:eastAsia="Times New Roman" w:hAnsi="Times New Roman" w:cs="Times New Roman"/>
          <w:b/>
          <w:sz w:val="24"/>
          <w:szCs w:val="24"/>
        </w:rPr>
      </w:pPr>
      <w:r w:rsidRPr="000B73FE">
        <w:rPr>
          <w:rFonts w:ascii="Times New Roman" w:eastAsia="Times New Roman" w:hAnsi="Times New Roman" w:cs="Times New Roman"/>
          <w:b/>
          <w:sz w:val="24"/>
          <w:szCs w:val="24"/>
        </w:rPr>
        <w:t>Pušu rekvizīti un paraksti</w:t>
      </w:r>
    </w:p>
    <w:tbl>
      <w:tblPr>
        <w:tblW w:w="0" w:type="auto"/>
        <w:tblInd w:w="108" w:type="dxa"/>
        <w:tblCellMar>
          <w:left w:w="10" w:type="dxa"/>
          <w:right w:w="10" w:type="dxa"/>
        </w:tblCellMar>
        <w:tblLook w:val="0000" w:firstRow="0" w:lastRow="0" w:firstColumn="0" w:lastColumn="0" w:noHBand="0" w:noVBand="0"/>
      </w:tblPr>
      <w:tblGrid>
        <w:gridCol w:w="4703"/>
        <w:gridCol w:w="4164"/>
      </w:tblGrid>
      <w:tr w:rsidR="00896733" w:rsidRPr="000B73FE" w14:paraId="1687E1F8" w14:textId="77777777">
        <w:trPr>
          <w:trHeight w:val="1"/>
        </w:trPr>
        <w:tc>
          <w:tcPr>
            <w:tcW w:w="49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B6C6595" w14:textId="77777777" w:rsidR="00896733" w:rsidRPr="000B73FE" w:rsidRDefault="00EB2BF5">
            <w:pPr>
              <w:spacing w:after="0" w:line="240" w:lineRule="auto"/>
              <w:ind w:hanging="709"/>
              <w:jc w:val="center"/>
              <w:rPr>
                <w:rFonts w:ascii="Times New Roman" w:hAnsi="Times New Roman" w:cs="Times New Roman"/>
                <w:sz w:val="24"/>
                <w:szCs w:val="24"/>
              </w:rPr>
            </w:pPr>
            <w:r w:rsidRPr="000B73FE">
              <w:rPr>
                <w:rFonts w:ascii="Times New Roman" w:eastAsia="Times New Roman" w:hAnsi="Times New Roman" w:cs="Times New Roman"/>
                <w:b/>
                <w:sz w:val="24"/>
                <w:szCs w:val="24"/>
              </w:rPr>
              <w:t>Pasūtītājs</w:t>
            </w:r>
          </w:p>
        </w:tc>
        <w:tc>
          <w:tcPr>
            <w:tcW w:w="426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881CC50" w14:textId="77777777" w:rsidR="00896733" w:rsidRPr="000B73FE" w:rsidRDefault="00EB2BF5">
            <w:pPr>
              <w:spacing w:after="0" w:line="240" w:lineRule="auto"/>
              <w:ind w:hanging="709"/>
              <w:jc w:val="center"/>
              <w:rPr>
                <w:rFonts w:ascii="Times New Roman" w:hAnsi="Times New Roman" w:cs="Times New Roman"/>
                <w:sz w:val="24"/>
                <w:szCs w:val="24"/>
              </w:rPr>
            </w:pPr>
            <w:r w:rsidRPr="000B73FE">
              <w:rPr>
                <w:rFonts w:ascii="Times New Roman" w:eastAsia="Times New Roman" w:hAnsi="Times New Roman" w:cs="Times New Roman"/>
                <w:b/>
                <w:sz w:val="24"/>
                <w:szCs w:val="24"/>
              </w:rPr>
              <w:t>Izpildītājs</w:t>
            </w:r>
          </w:p>
        </w:tc>
      </w:tr>
      <w:tr w:rsidR="00896733" w:rsidRPr="000B73FE" w14:paraId="06BCA7CC" w14:textId="77777777">
        <w:trPr>
          <w:trHeight w:val="1"/>
        </w:trPr>
        <w:tc>
          <w:tcPr>
            <w:tcW w:w="49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5F4B6D1" w14:textId="77777777" w:rsidR="00896733" w:rsidRPr="000B73FE" w:rsidRDefault="00EB2BF5">
            <w:pPr>
              <w:tabs>
                <w:tab w:val="left" w:pos="0"/>
              </w:tabs>
              <w:spacing w:after="0" w:line="240" w:lineRule="auto"/>
              <w:ind w:right="-750"/>
              <w:rPr>
                <w:rFonts w:ascii="Times New Roman" w:eastAsia="Times New Roman" w:hAnsi="Times New Roman" w:cs="Times New Roman"/>
                <w:b/>
                <w:sz w:val="24"/>
                <w:szCs w:val="24"/>
              </w:rPr>
            </w:pPr>
            <w:r w:rsidRPr="000B73FE">
              <w:rPr>
                <w:rFonts w:ascii="Times New Roman" w:eastAsia="Times New Roman" w:hAnsi="Times New Roman" w:cs="Times New Roman"/>
                <w:b/>
                <w:sz w:val="24"/>
                <w:szCs w:val="24"/>
              </w:rPr>
              <w:t>Rīgas domes Izglītības, kultūras un sporta departaments</w:t>
            </w:r>
          </w:p>
          <w:p w14:paraId="481653F4"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Juridiskā adrese: Krišjāņa Valdemāra iela 5, </w:t>
            </w:r>
          </w:p>
          <w:p w14:paraId="1B9FA45D"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Rīga, LV-1010</w:t>
            </w:r>
          </w:p>
          <w:p w14:paraId="56714CC4"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Tālrunis: 67026816</w:t>
            </w:r>
          </w:p>
          <w:p w14:paraId="539AD1E5"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e-pasts: </w:t>
            </w:r>
            <w:r w:rsidRPr="000B73FE">
              <w:rPr>
                <w:rFonts w:ascii="Times New Roman" w:eastAsia="Times New Roman" w:hAnsi="Times New Roman" w:cs="Times New Roman"/>
                <w:color w:val="0000FF"/>
                <w:sz w:val="24"/>
                <w:szCs w:val="24"/>
                <w:u w:val="single"/>
              </w:rPr>
              <w:t>iksd@riga.lv</w:t>
            </w:r>
          </w:p>
          <w:p w14:paraId="75731E19"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b/>
                <w:sz w:val="24"/>
                <w:szCs w:val="24"/>
              </w:rPr>
            </w:pPr>
            <w:r w:rsidRPr="000B73FE">
              <w:rPr>
                <w:rFonts w:ascii="Times New Roman" w:eastAsia="Times New Roman" w:hAnsi="Times New Roman" w:cs="Times New Roman"/>
                <w:b/>
                <w:sz w:val="24"/>
                <w:szCs w:val="24"/>
              </w:rPr>
              <w:t>Norēķinu rekvizīti:</w:t>
            </w:r>
          </w:p>
          <w:p w14:paraId="5C56921A"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Rīgas pilsētas pašvaldība</w:t>
            </w:r>
          </w:p>
          <w:p w14:paraId="002FD461"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Juridiskā adrese: Rātslaukums 1, Rīga, </w:t>
            </w:r>
          </w:p>
          <w:p w14:paraId="45F3340D"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LV-1050</w:t>
            </w:r>
          </w:p>
          <w:p w14:paraId="1E20B403"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NMR kods: 90011524360 </w:t>
            </w:r>
          </w:p>
          <w:p w14:paraId="67A69E6B"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PVN. </w:t>
            </w:r>
            <w:proofErr w:type="spellStart"/>
            <w:r w:rsidRPr="000B73FE">
              <w:rPr>
                <w:rFonts w:ascii="Times New Roman" w:eastAsia="Times New Roman" w:hAnsi="Times New Roman" w:cs="Times New Roman"/>
                <w:sz w:val="24"/>
                <w:szCs w:val="24"/>
              </w:rPr>
              <w:t>reģ</w:t>
            </w:r>
            <w:proofErr w:type="spellEnd"/>
            <w:r w:rsidRPr="000B73FE">
              <w:rPr>
                <w:rFonts w:ascii="Times New Roman" w:eastAsia="Times New Roman" w:hAnsi="Times New Roman" w:cs="Times New Roman"/>
                <w:sz w:val="24"/>
                <w:szCs w:val="24"/>
              </w:rPr>
              <w:t xml:space="preserve">. Nr.: LV90011524360 </w:t>
            </w:r>
          </w:p>
          <w:p w14:paraId="7E186C13"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Banka: </w:t>
            </w:r>
            <w:proofErr w:type="spellStart"/>
            <w:r w:rsidRPr="000B73FE">
              <w:rPr>
                <w:rFonts w:ascii="Times New Roman" w:eastAsia="Times New Roman" w:hAnsi="Times New Roman" w:cs="Times New Roman"/>
                <w:sz w:val="24"/>
                <w:szCs w:val="24"/>
              </w:rPr>
              <w:t>Luminor</w:t>
            </w:r>
            <w:proofErr w:type="spellEnd"/>
            <w:r w:rsidRPr="000B73FE">
              <w:rPr>
                <w:rFonts w:ascii="Times New Roman" w:eastAsia="Times New Roman" w:hAnsi="Times New Roman" w:cs="Times New Roman"/>
                <w:sz w:val="24"/>
                <w:szCs w:val="24"/>
              </w:rPr>
              <w:t xml:space="preserve"> </w:t>
            </w:r>
            <w:proofErr w:type="spellStart"/>
            <w:r w:rsidRPr="000B73FE">
              <w:rPr>
                <w:rFonts w:ascii="Times New Roman" w:eastAsia="Times New Roman" w:hAnsi="Times New Roman" w:cs="Times New Roman"/>
                <w:sz w:val="24"/>
                <w:szCs w:val="24"/>
              </w:rPr>
              <w:t>Bank</w:t>
            </w:r>
            <w:proofErr w:type="spellEnd"/>
            <w:r w:rsidRPr="000B73FE">
              <w:rPr>
                <w:rFonts w:ascii="Times New Roman" w:eastAsia="Times New Roman" w:hAnsi="Times New Roman" w:cs="Times New Roman"/>
                <w:sz w:val="24"/>
                <w:szCs w:val="24"/>
              </w:rPr>
              <w:t xml:space="preserve"> AS</w:t>
            </w:r>
          </w:p>
          <w:p w14:paraId="09F702C0"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Kods: NDEALV2X</w:t>
            </w:r>
            <w:r w:rsidRPr="000B73FE">
              <w:rPr>
                <w:rFonts w:ascii="Times New Roman" w:eastAsia="Times New Roman" w:hAnsi="Times New Roman" w:cs="Times New Roman"/>
                <w:sz w:val="24"/>
                <w:szCs w:val="24"/>
              </w:rPr>
              <w:tab/>
            </w:r>
          </w:p>
          <w:p w14:paraId="64313E50"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Konts: LV95NDEA0021000016170</w:t>
            </w:r>
          </w:p>
          <w:p w14:paraId="5030769A"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RD iestādes kods: 210</w:t>
            </w:r>
          </w:p>
          <w:p w14:paraId="6E42CF3B"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1414E9BF"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__________________</w:t>
            </w:r>
          </w:p>
          <w:p w14:paraId="0157F9AA"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i/>
                <w:sz w:val="24"/>
                <w:szCs w:val="24"/>
              </w:rPr>
            </w:pPr>
            <w:r w:rsidRPr="000B73FE">
              <w:rPr>
                <w:rFonts w:ascii="Times New Roman" w:eastAsia="Times New Roman" w:hAnsi="Times New Roman" w:cs="Times New Roman"/>
                <w:i/>
                <w:sz w:val="24"/>
                <w:szCs w:val="24"/>
              </w:rPr>
              <w:t xml:space="preserve">Ivars </w:t>
            </w:r>
            <w:proofErr w:type="spellStart"/>
            <w:r w:rsidRPr="000B73FE">
              <w:rPr>
                <w:rFonts w:ascii="Times New Roman" w:eastAsia="Times New Roman" w:hAnsi="Times New Roman" w:cs="Times New Roman"/>
                <w:i/>
                <w:sz w:val="24"/>
                <w:szCs w:val="24"/>
              </w:rPr>
              <w:t>Balamovskis</w:t>
            </w:r>
            <w:proofErr w:type="spellEnd"/>
          </w:p>
          <w:p w14:paraId="2711A7DB"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i/>
                <w:sz w:val="24"/>
                <w:szCs w:val="24"/>
              </w:rPr>
            </w:pPr>
          </w:p>
          <w:p w14:paraId="6B613FC5"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__.03.2020. </w:t>
            </w:r>
          </w:p>
          <w:p w14:paraId="0CD84B4A"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60CD022A" w14:textId="77777777" w:rsidR="00896733" w:rsidRPr="000B73FE" w:rsidRDefault="00896733">
            <w:pPr>
              <w:tabs>
                <w:tab w:val="left" w:pos="0"/>
              </w:tabs>
              <w:spacing w:after="0" w:line="240" w:lineRule="auto"/>
              <w:ind w:left="709" w:right="-750" w:hanging="709"/>
              <w:rPr>
                <w:rFonts w:ascii="Times New Roman" w:hAnsi="Times New Roman" w:cs="Times New Roman"/>
                <w:sz w:val="24"/>
                <w:szCs w:val="24"/>
              </w:rPr>
            </w:pPr>
          </w:p>
        </w:tc>
        <w:tc>
          <w:tcPr>
            <w:tcW w:w="426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3D8EC83"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b/>
                <w:sz w:val="24"/>
                <w:szCs w:val="24"/>
              </w:rPr>
            </w:pPr>
            <w:r w:rsidRPr="000B73FE">
              <w:rPr>
                <w:rFonts w:ascii="Times New Roman" w:eastAsia="Times New Roman" w:hAnsi="Times New Roman" w:cs="Times New Roman"/>
                <w:b/>
                <w:sz w:val="24"/>
                <w:szCs w:val="24"/>
              </w:rPr>
              <w:t>SIA “</w:t>
            </w:r>
            <w:proofErr w:type="spellStart"/>
            <w:r w:rsidRPr="000B73FE">
              <w:rPr>
                <w:rFonts w:ascii="Times New Roman" w:eastAsia="Times New Roman" w:hAnsi="Times New Roman" w:cs="Times New Roman"/>
                <w:b/>
                <w:sz w:val="24"/>
                <w:szCs w:val="24"/>
              </w:rPr>
              <w:t>Clear</w:t>
            </w:r>
            <w:proofErr w:type="spellEnd"/>
            <w:r w:rsidRPr="000B73FE">
              <w:rPr>
                <w:rFonts w:ascii="Times New Roman" w:eastAsia="Times New Roman" w:hAnsi="Times New Roman" w:cs="Times New Roman"/>
                <w:b/>
                <w:sz w:val="24"/>
                <w:szCs w:val="24"/>
              </w:rPr>
              <w:t xml:space="preserve"> </w:t>
            </w:r>
            <w:proofErr w:type="spellStart"/>
            <w:r w:rsidRPr="000B73FE">
              <w:rPr>
                <w:rFonts w:ascii="Times New Roman" w:eastAsia="Times New Roman" w:hAnsi="Times New Roman" w:cs="Times New Roman"/>
                <w:b/>
                <w:sz w:val="24"/>
                <w:szCs w:val="24"/>
              </w:rPr>
              <w:t>Channel</w:t>
            </w:r>
            <w:proofErr w:type="spellEnd"/>
            <w:r w:rsidRPr="000B73FE">
              <w:rPr>
                <w:rFonts w:ascii="Times New Roman" w:eastAsia="Times New Roman" w:hAnsi="Times New Roman" w:cs="Times New Roman"/>
                <w:b/>
                <w:sz w:val="24"/>
                <w:szCs w:val="24"/>
              </w:rPr>
              <w:t xml:space="preserve"> Latvia”</w:t>
            </w:r>
          </w:p>
          <w:p w14:paraId="23F61C9B"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Reģistrācijas Nr. LV40003547864 </w:t>
            </w:r>
          </w:p>
          <w:p w14:paraId="33B436EF"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Juridiskā adrese: Vaļņu ielā 3-1, </w:t>
            </w:r>
          </w:p>
          <w:p w14:paraId="23AC3363"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Rīgā, LV-1050</w:t>
            </w:r>
          </w:p>
          <w:p w14:paraId="203C1829"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Banka: AS SWEDBANK</w:t>
            </w:r>
          </w:p>
          <w:p w14:paraId="3C77A367"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Kods: HABALV22</w:t>
            </w:r>
          </w:p>
          <w:p w14:paraId="54C47D55"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Konts: LV11HABA0551000744585</w:t>
            </w:r>
          </w:p>
          <w:p w14:paraId="11091AB2"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2551D8F6"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4FFD14FB"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3B1AC331"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0CBEF8C2"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1559E8AC"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353FB8D2"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68A21BD1"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2E11FE5D"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0357FCAC"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6184FF84"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__________________</w:t>
            </w:r>
          </w:p>
          <w:p w14:paraId="464B4B29"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i/>
                <w:sz w:val="24"/>
                <w:szCs w:val="24"/>
              </w:rPr>
            </w:pPr>
            <w:r w:rsidRPr="000B73FE">
              <w:rPr>
                <w:rFonts w:ascii="Times New Roman" w:eastAsia="Times New Roman" w:hAnsi="Times New Roman" w:cs="Times New Roman"/>
                <w:i/>
                <w:sz w:val="24"/>
                <w:szCs w:val="24"/>
              </w:rPr>
              <w:t>Jānis Puravs</w:t>
            </w:r>
          </w:p>
          <w:p w14:paraId="518F466D"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i/>
                <w:sz w:val="24"/>
                <w:szCs w:val="24"/>
              </w:rPr>
            </w:pPr>
          </w:p>
          <w:p w14:paraId="008D97F9"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__.03.2020. </w:t>
            </w:r>
          </w:p>
          <w:p w14:paraId="530BCCCD" w14:textId="77777777" w:rsidR="00896733" w:rsidRPr="000B73FE" w:rsidRDefault="00896733">
            <w:pPr>
              <w:tabs>
                <w:tab w:val="left" w:pos="0"/>
              </w:tabs>
              <w:spacing w:after="0" w:line="240" w:lineRule="auto"/>
              <w:ind w:left="709" w:right="-750" w:hanging="709"/>
              <w:rPr>
                <w:rFonts w:ascii="Times New Roman" w:hAnsi="Times New Roman" w:cs="Times New Roman"/>
                <w:sz w:val="24"/>
                <w:szCs w:val="24"/>
              </w:rPr>
            </w:pPr>
          </w:p>
        </w:tc>
      </w:tr>
    </w:tbl>
    <w:p w14:paraId="0E7DFB74" w14:textId="77777777" w:rsidR="00896733" w:rsidRPr="000B73FE" w:rsidRDefault="00896733">
      <w:pPr>
        <w:spacing w:after="0" w:line="240" w:lineRule="auto"/>
        <w:rPr>
          <w:rFonts w:ascii="Times New Roman" w:eastAsia="Times New Roman" w:hAnsi="Times New Roman" w:cs="Times New Roman"/>
          <w:sz w:val="24"/>
          <w:szCs w:val="24"/>
        </w:rPr>
      </w:pPr>
    </w:p>
    <w:sectPr w:rsidR="00896733" w:rsidRPr="000B73FE" w:rsidSect="0001473A">
      <w:pgSz w:w="11906" w:h="16838"/>
      <w:pgMar w:top="1440" w:right="1134"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33"/>
    <w:rsid w:val="0001473A"/>
    <w:rsid w:val="000B73FE"/>
    <w:rsid w:val="00896733"/>
    <w:rsid w:val="00C24204"/>
    <w:rsid w:val="00EB2BF5"/>
    <w:rsid w:val="00F072F0"/>
    <w:rsid w:val="00F2448E"/>
    <w:rsid w:val="00F901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38BEF"/>
  <w15:docId w15:val="{75F9ACB1-9F48-439F-80DE-C07A6C2E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DocumentLibraryPermissions xmlns="a22b3a07-72f1-43da-b4ce-cc328d0dc9eb" xsi:nil="true"/>
    <MigrationWizIdSecurityGroups xmlns="a22b3a07-72f1-43da-b4ce-cc328d0dc9eb" xsi:nil="true"/>
    <MigrationWizId xmlns="a22b3a07-72f1-43da-b4ce-cc328d0dc9eb" xsi:nil="true"/>
    <MigrationWizIdPermissionLevels xmlns="a22b3a07-72f1-43da-b4ce-cc328d0dc9eb" xsi:nil="true"/>
    <MigrationWizIdPermissions xmlns="a22b3a07-72f1-43da-b4ce-cc328d0dc9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901ED23424714C9AB28BF3B12AE318" ma:contentTypeVersion="18" ma:contentTypeDescription="Create a new document." ma:contentTypeScope="" ma:versionID="60089a28d906c80c89ead7f85585c2f7">
  <xsd:schema xmlns:xsd="http://www.w3.org/2001/XMLSchema" xmlns:xs="http://www.w3.org/2001/XMLSchema" xmlns:p="http://schemas.microsoft.com/office/2006/metadata/properties" xmlns:ns3="a22b3a07-72f1-43da-b4ce-cc328d0dc9eb" xmlns:ns4="3f144866-e3a7-4c65-bd13-a9f32adb7ecf" targetNamespace="http://schemas.microsoft.com/office/2006/metadata/properties" ma:root="true" ma:fieldsID="bf98f661328862b773b378a7fb6204f6" ns3:_="" ns4:_="">
    <xsd:import namespace="a22b3a07-72f1-43da-b4ce-cc328d0dc9eb"/>
    <xsd:import namespace="3f144866-e3a7-4c65-bd13-a9f32adb7ecf"/>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b3a07-72f1-43da-b4ce-cc328d0dc9e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144866-e3a7-4c65-bd13-a9f32adb7e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AB3FAE-DCF4-4376-8AE6-A0D2D8130F74}">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a22b3a07-72f1-43da-b4ce-cc328d0dc9eb"/>
    <ds:schemaRef ds:uri="3f144866-e3a7-4c65-bd13-a9f32adb7ecf"/>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5E0E5F9-7144-4B87-BB49-214FD8260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b3a07-72f1-43da-b4ce-cc328d0dc9eb"/>
    <ds:schemaRef ds:uri="3f144866-e3a7-4c65-bd13-a9f32adb7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491414-8D51-430F-ABAC-4D5ECB5B6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2525</Words>
  <Characters>1440</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Dzintra Oga-Vasule</dc:creator>
  <cp:lastModifiedBy>Inese Liepa</cp:lastModifiedBy>
  <cp:revision>3</cp:revision>
  <cp:lastPrinted>2020-03-18T11:58:00Z</cp:lastPrinted>
  <dcterms:created xsi:type="dcterms:W3CDTF">2020-03-30T13:48:00Z</dcterms:created>
  <dcterms:modified xsi:type="dcterms:W3CDTF">2020-03-31T05:49:00Z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0x01010078901ED23424714C9AB28BF3B12AE318</vt:lpwstr>
  </property>
</Properties>
</file>