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FB" w:rsidRDefault="005433D1" w:rsidP="00CE63FB">
      <w:pPr>
        <w:jc w:val="right"/>
        <w:rPr>
          <w:sz w:val="24"/>
          <w:szCs w:val="24"/>
        </w:rPr>
      </w:pPr>
      <w:r>
        <w:rPr>
          <w:sz w:val="24"/>
          <w:szCs w:val="24"/>
        </w:rPr>
        <w:t>Konkursa</w:t>
      </w:r>
      <w:r w:rsidR="00CE63FB" w:rsidRPr="0000741F">
        <w:rPr>
          <w:sz w:val="24"/>
          <w:szCs w:val="24"/>
        </w:rPr>
        <w:t xml:space="preserve"> RD IKSD 2020/</w:t>
      </w:r>
      <w:r w:rsidR="00795F1B">
        <w:rPr>
          <w:sz w:val="24"/>
          <w:szCs w:val="24"/>
        </w:rPr>
        <w:t>9</w:t>
      </w:r>
      <w:r w:rsidR="00CE63FB" w:rsidRPr="0000741F">
        <w:rPr>
          <w:sz w:val="24"/>
          <w:szCs w:val="24"/>
        </w:rPr>
        <w:t xml:space="preserve"> nolikuma</w:t>
      </w:r>
    </w:p>
    <w:p w:rsidR="00B24089" w:rsidRPr="0000741F" w:rsidRDefault="00B24089" w:rsidP="005709D8">
      <w:pPr>
        <w:jc w:val="right"/>
        <w:rPr>
          <w:sz w:val="24"/>
          <w:szCs w:val="24"/>
        </w:rPr>
      </w:pPr>
      <w:r>
        <w:rPr>
          <w:sz w:val="24"/>
          <w:szCs w:val="24"/>
        </w:rPr>
        <w:t>2. p</w:t>
      </w:r>
      <w:r w:rsidRPr="0000741F">
        <w:rPr>
          <w:sz w:val="24"/>
          <w:szCs w:val="24"/>
        </w:rPr>
        <w:t>ielikums</w:t>
      </w:r>
    </w:p>
    <w:p w:rsidR="00CE63FB" w:rsidRPr="0000741F" w:rsidRDefault="00CE63FB" w:rsidP="005709D8">
      <w:pPr>
        <w:spacing w:before="120"/>
        <w:jc w:val="right"/>
        <w:rPr>
          <w:i/>
          <w:iCs/>
          <w:sz w:val="24"/>
          <w:szCs w:val="24"/>
        </w:rPr>
      </w:pPr>
      <w:r w:rsidRPr="0000741F">
        <w:rPr>
          <w:i/>
          <w:iCs/>
          <w:sz w:val="24"/>
          <w:szCs w:val="24"/>
        </w:rPr>
        <w:t>Apliecinājuma forma</w:t>
      </w:r>
    </w:p>
    <w:p w:rsidR="00CE63FB" w:rsidRDefault="00CE63FB" w:rsidP="001070B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4"/>
          <w:szCs w:val="24"/>
          <w:lang w:eastAsia="lv-LV"/>
        </w:rPr>
      </w:pPr>
      <w:r w:rsidRPr="0000741F">
        <w:rPr>
          <w:b/>
          <w:bCs/>
          <w:sz w:val="24"/>
          <w:szCs w:val="24"/>
          <w:lang w:eastAsia="lv-LV"/>
        </w:rPr>
        <w:t>P</w:t>
      </w:r>
      <w:bookmarkStart w:id="0" w:name="_Hlk41561456"/>
      <w:r w:rsidRPr="0000741F">
        <w:rPr>
          <w:b/>
          <w:bCs/>
          <w:sz w:val="24"/>
          <w:szCs w:val="24"/>
          <w:lang w:eastAsia="lv-LV"/>
        </w:rPr>
        <w:t>RETENDENTA PIEREDZES APLIECINĀJUMS</w:t>
      </w:r>
      <w:bookmarkStart w:id="1" w:name="_Hlk41562044"/>
      <w:bookmarkEnd w:id="0"/>
    </w:p>
    <w:p w:rsidR="005709D8" w:rsidRDefault="00DA0A4E" w:rsidP="005709D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66EB9">
        <w:rPr>
          <w:sz w:val="24"/>
          <w:szCs w:val="24"/>
        </w:rPr>
        <w:t xml:space="preserve">Rīgas domes Izglītības, kultūras un sporta departamenta </w:t>
      </w:r>
      <w:r w:rsidR="005433D1">
        <w:rPr>
          <w:sz w:val="24"/>
          <w:szCs w:val="24"/>
        </w:rPr>
        <w:t>atklāt</w:t>
      </w:r>
      <w:r w:rsidR="00DF1636">
        <w:rPr>
          <w:sz w:val="24"/>
          <w:szCs w:val="24"/>
        </w:rPr>
        <w:t>aj</w:t>
      </w:r>
      <w:r w:rsidR="005433D1">
        <w:rPr>
          <w:sz w:val="24"/>
          <w:szCs w:val="24"/>
        </w:rPr>
        <w:t>ā konkursā</w:t>
      </w:r>
      <w:r w:rsidRPr="00366EB9">
        <w:rPr>
          <w:sz w:val="24"/>
          <w:szCs w:val="24"/>
        </w:rPr>
        <w:t xml:space="preserve"> </w:t>
      </w:r>
    </w:p>
    <w:p w:rsidR="005709D8" w:rsidRDefault="00DA0A4E" w:rsidP="005709D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09D8">
        <w:rPr>
          <w:b/>
          <w:sz w:val="24"/>
          <w:szCs w:val="24"/>
        </w:rPr>
        <w:t>“Informatīvo kampaņu</w:t>
      </w:r>
      <w:r w:rsidR="005709D8" w:rsidRPr="005709D8">
        <w:rPr>
          <w:b/>
          <w:sz w:val="24"/>
          <w:szCs w:val="24"/>
        </w:rPr>
        <w:t xml:space="preserve"> </w:t>
      </w:r>
      <w:r w:rsidRPr="005709D8">
        <w:rPr>
          <w:b/>
          <w:sz w:val="24"/>
          <w:szCs w:val="24"/>
        </w:rPr>
        <w:t xml:space="preserve">materiālu izvietošana medijos” </w:t>
      </w:r>
    </w:p>
    <w:p w:rsidR="00DA0A4E" w:rsidRPr="008F7E84" w:rsidRDefault="00DA0A4E" w:rsidP="005709D8">
      <w:pPr>
        <w:autoSpaceDE w:val="0"/>
        <w:autoSpaceDN w:val="0"/>
        <w:adjustRightInd w:val="0"/>
        <w:spacing w:after="240"/>
        <w:jc w:val="center"/>
        <w:rPr>
          <w:sz w:val="24"/>
          <w:szCs w:val="24"/>
        </w:rPr>
      </w:pPr>
      <w:r w:rsidRPr="00366EB9">
        <w:rPr>
          <w:sz w:val="24"/>
          <w:szCs w:val="24"/>
        </w:rPr>
        <w:t>(iden</w:t>
      </w:r>
      <w:r w:rsidR="005709D8">
        <w:rPr>
          <w:sz w:val="24"/>
          <w:szCs w:val="24"/>
        </w:rPr>
        <w:t>tifikācijas numurs</w:t>
      </w:r>
      <w:r w:rsidR="007517C0">
        <w:rPr>
          <w:sz w:val="24"/>
          <w:szCs w:val="24"/>
        </w:rPr>
        <w:t xml:space="preserve"> RD IKSD 2020/9)</w:t>
      </w:r>
    </w:p>
    <w:p w:rsidR="00DA0A4E" w:rsidRDefault="00DA0A4E" w:rsidP="00DA0A4E">
      <w:pPr>
        <w:spacing w:line="360" w:lineRule="auto"/>
        <w:jc w:val="both"/>
        <w:rPr>
          <w:sz w:val="24"/>
          <w:szCs w:val="24"/>
        </w:rPr>
      </w:pPr>
      <w:r w:rsidRPr="00303F6C">
        <w:rPr>
          <w:sz w:val="24"/>
          <w:szCs w:val="24"/>
        </w:rPr>
        <w:t>Ar šo Pretendents</w:t>
      </w:r>
      <w:r w:rsidR="00B54318">
        <w:rPr>
          <w:sz w:val="24"/>
          <w:szCs w:val="24"/>
        </w:rPr>
        <w:t xml:space="preserve"> </w:t>
      </w:r>
      <w:r w:rsidR="006568B6">
        <w:rPr>
          <w:sz w:val="24"/>
          <w:szCs w:val="24"/>
        </w:rPr>
        <w:t>&lt;</w:t>
      </w:r>
      <w:r w:rsidR="006568B6" w:rsidRPr="006568B6">
        <w:rPr>
          <w:i/>
          <w:iCs/>
          <w:sz w:val="24"/>
          <w:szCs w:val="24"/>
        </w:rPr>
        <w:t>Pretendenta nosaukums</w:t>
      </w:r>
      <w:r w:rsidR="006568B6">
        <w:rPr>
          <w:sz w:val="24"/>
          <w:szCs w:val="24"/>
        </w:rPr>
        <w:t>&gt;</w:t>
      </w:r>
      <w:r w:rsidRPr="00303F6C">
        <w:rPr>
          <w:sz w:val="24"/>
          <w:szCs w:val="24"/>
        </w:rPr>
        <w:t xml:space="preserve"> apliecina, ka:</w:t>
      </w:r>
    </w:p>
    <w:p w:rsidR="004D1BF1" w:rsidRDefault="00B06390" w:rsidP="004D1BF1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00741F">
        <w:rPr>
          <w:sz w:val="24"/>
          <w:szCs w:val="24"/>
          <w:shd w:val="clear" w:color="auto" w:fill="FFFFFF"/>
        </w:rPr>
        <w:t>Pretendent</w:t>
      </w:r>
      <w:r w:rsidR="003C30DF" w:rsidRPr="0000741F">
        <w:rPr>
          <w:sz w:val="24"/>
          <w:szCs w:val="24"/>
          <w:shd w:val="clear" w:color="auto" w:fill="FFFFFF"/>
        </w:rPr>
        <w:t>am</w:t>
      </w:r>
      <w:r w:rsidR="00B54318">
        <w:rPr>
          <w:sz w:val="24"/>
          <w:szCs w:val="24"/>
          <w:shd w:val="clear" w:color="auto" w:fill="FFFFFF"/>
        </w:rPr>
        <w:t xml:space="preserve"> </w:t>
      </w:r>
      <w:r w:rsidR="00746691">
        <w:rPr>
          <w:sz w:val="24"/>
          <w:szCs w:val="24"/>
          <w:shd w:val="clear" w:color="auto" w:fill="FFFFFF"/>
        </w:rPr>
        <w:t>iepriekšējo</w:t>
      </w:r>
      <w:r w:rsidR="00346DE9" w:rsidRPr="0000741F">
        <w:rPr>
          <w:sz w:val="24"/>
          <w:szCs w:val="24"/>
          <w:shd w:val="clear" w:color="auto" w:fill="FFFFFF"/>
        </w:rPr>
        <w:t xml:space="preserve"> 3 (trīs) gadu laikā</w:t>
      </w:r>
      <w:r w:rsidR="006568B6">
        <w:rPr>
          <w:sz w:val="24"/>
          <w:szCs w:val="24"/>
          <w:shd w:val="clear" w:color="auto" w:fill="FFFFFF"/>
        </w:rPr>
        <w:t xml:space="preserve"> (</w:t>
      </w:r>
      <w:r w:rsidR="008A7E1C">
        <w:rPr>
          <w:sz w:val="24"/>
          <w:szCs w:val="24"/>
          <w:shd w:val="clear" w:color="auto" w:fill="FFFFFF"/>
        </w:rPr>
        <w:t>2017., 2018., 2019. un 2020</w:t>
      </w:r>
      <w:r w:rsidR="00C25495">
        <w:rPr>
          <w:sz w:val="24"/>
          <w:szCs w:val="24"/>
          <w:shd w:val="clear" w:color="auto" w:fill="FFFFFF"/>
        </w:rPr>
        <w:t>.</w:t>
      </w:r>
      <w:r w:rsidR="008A7E1C">
        <w:rPr>
          <w:sz w:val="24"/>
          <w:szCs w:val="24"/>
          <w:shd w:val="clear" w:color="auto" w:fill="FFFFFF"/>
        </w:rPr>
        <w:t xml:space="preserve"> gads</w:t>
      </w:r>
      <w:r w:rsidR="00346DE9" w:rsidRPr="0000741F">
        <w:rPr>
          <w:sz w:val="24"/>
          <w:szCs w:val="24"/>
          <w:shd w:val="clear" w:color="auto" w:fill="FFFFFF"/>
        </w:rPr>
        <w:t xml:space="preserve"> līdz piedāvājuma iesniegšanas </w:t>
      </w:r>
      <w:r w:rsidR="006568B6">
        <w:rPr>
          <w:sz w:val="24"/>
          <w:szCs w:val="24"/>
          <w:shd w:val="clear" w:color="auto" w:fill="FFFFFF"/>
        </w:rPr>
        <w:t>brīdim)</w:t>
      </w:r>
      <w:r w:rsidR="00346DE9" w:rsidRPr="0000741F">
        <w:rPr>
          <w:sz w:val="24"/>
          <w:szCs w:val="24"/>
          <w:shd w:val="clear" w:color="auto" w:fill="FFFFFF"/>
        </w:rPr>
        <w:t xml:space="preserve"> ir pieredze vismaz 2 (divu) </w:t>
      </w:r>
      <w:r w:rsidR="00746691">
        <w:rPr>
          <w:sz w:val="24"/>
          <w:szCs w:val="24"/>
          <w:shd w:val="clear" w:color="auto" w:fill="FFFFFF"/>
        </w:rPr>
        <w:t xml:space="preserve">finanšu un aktivitāšu apjoma ziņā </w:t>
      </w:r>
      <w:r w:rsidR="000E6CD6">
        <w:rPr>
          <w:sz w:val="24"/>
          <w:szCs w:val="24"/>
          <w:shd w:val="clear" w:color="auto" w:fill="FFFFFF"/>
        </w:rPr>
        <w:t xml:space="preserve">iepirkuma priekšmetam </w:t>
      </w:r>
      <w:r w:rsidR="00346DE9" w:rsidRPr="0000741F">
        <w:rPr>
          <w:sz w:val="24"/>
          <w:szCs w:val="24"/>
          <w:shd w:val="clear" w:color="auto" w:fill="FFFFFF"/>
        </w:rPr>
        <w:t>līdz</w:t>
      </w:r>
      <w:r w:rsidR="00746691">
        <w:rPr>
          <w:sz w:val="24"/>
          <w:szCs w:val="24"/>
          <w:shd w:val="clear" w:color="auto" w:fill="FFFFFF"/>
        </w:rPr>
        <w:t>vērtīgu</w:t>
      </w:r>
      <w:r w:rsidR="00346DE9" w:rsidRPr="0000741F">
        <w:rPr>
          <w:sz w:val="24"/>
          <w:szCs w:val="24"/>
          <w:shd w:val="clear" w:color="auto" w:fill="FFFFFF"/>
        </w:rPr>
        <w:t xml:space="preserve"> pakalpojumu </w:t>
      </w:r>
      <w:r w:rsidR="00746691">
        <w:rPr>
          <w:sz w:val="24"/>
          <w:szCs w:val="24"/>
          <w:shd w:val="clear" w:color="auto" w:fill="FFFFFF"/>
        </w:rPr>
        <w:t>īstenošanā</w:t>
      </w:r>
      <w:r w:rsidR="004D1BF1" w:rsidRPr="004D1BF1">
        <w:rPr>
          <w:i/>
          <w:iCs/>
          <w:sz w:val="24"/>
          <w:szCs w:val="24"/>
          <w:shd w:val="clear" w:color="auto" w:fill="FFFFFF"/>
        </w:rPr>
        <w:t>(Pretendents aizpilda šī pielikuma 1. tabulu)</w:t>
      </w:r>
      <w:r w:rsidR="00746691" w:rsidRPr="004D1BF1">
        <w:rPr>
          <w:sz w:val="24"/>
          <w:szCs w:val="24"/>
          <w:shd w:val="clear" w:color="auto" w:fill="FFFFFF"/>
        </w:rPr>
        <w:t>.</w:t>
      </w:r>
    </w:p>
    <w:p w:rsidR="00346DE9" w:rsidRPr="004D1BF1" w:rsidRDefault="004D1BF1" w:rsidP="00C00C19">
      <w:pPr>
        <w:numPr>
          <w:ilvl w:val="1"/>
          <w:numId w:val="2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2689E" w:rsidRPr="004D1BF1">
        <w:rPr>
          <w:sz w:val="24"/>
          <w:szCs w:val="24"/>
        </w:rPr>
        <w:t>ar līdzīgu pakalpojumu tiks uzskatīta informatīvo kampaņu</w:t>
      </w:r>
      <w:r w:rsidR="00D71054" w:rsidRPr="004D1BF1">
        <w:rPr>
          <w:sz w:val="24"/>
          <w:szCs w:val="24"/>
        </w:rPr>
        <w:t xml:space="preserve"> materiālu</w:t>
      </w:r>
      <w:r w:rsidR="0002689E" w:rsidRPr="004D1BF1">
        <w:rPr>
          <w:sz w:val="24"/>
          <w:szCs w:val="24"/>
        </w:rPr>
        <w:t xml:space="preserve"> izvietošanas plānošana, izvietošanas stratēģijas plāna izstrāde, informatīvo kampaņu materiālu piegāde (izvietošana) medijiem – internetā un/vai televīzijā un/vai radio un/vai preses izdevumos</w:t>
      </w:r>
      <w:r w:rsidR="009821C4">
        <w:rPr>
          <w:sz w:val="24"/>
          <w:szCs w:val="24"/>
        </w:rPr>
        <w:t xml:space="preserve"> – atbilstoši izstrādātajam plānam, </w:t>
      </w:r>
      <w:r w:rsidR="009821C4" w:rsidRPr="009821C4">
        <w:rPr>
          <w:sz w:val="24"/>
          <w:szCs w:val="24"/>
        </w:rPr>
        <w:t>informatīvo kampaņu materiālu izvietošanas medijos koordinēšana, to atspoguļošanas kontrole un optimizācija</w:t>
      </w:r>
      <w:r>
        <w:rPr>
          <w:sz w:val="24"/>
          <w:szCs w:val="24"/>
        </w:rPr>
        <w:t xml:space="preserve">, </w:t>
      </w:r>
      <w:r w:rsidRPr="004D1BF1">
        <w:rPr>
          <w:sz w:val="24"/>
          <w:szCs w:val="24"/>
        </w:rPr>
        <w:t xml:space="preserve">kā arī informatīvo kampaņu materiālu izvietošanas statistikas </w:t>
      </w:r>
      <w:r w:rsidR="0001216C">
        <w:rPr>
          <w:sz w:val="24"/>
          <w:szCs w:val="24"/>
        </w:rPr>
        <w:t>piegāde</w:t>
      </w:r>
      <w:r>
        <w:rPr>
          <w:sz w:val="24"/>
          <w:szCs w:val="24"/>
        </w:rPr>
        <w:t xml:space="preserve"> pēc </w:t>
      </w:r>
      <w:r w:rsidR="003A5E70">
        <w:rPr>
          <w:sz w:val="24"/>
          <w:szCs w:val="24"/>
        </w:rPr>
        <w:t>P</w:t>
      </w:r>
      <w:r>
        <w:rPr>
          <w:sz w:val="24"/>
          <w:szCs w:val="24"/>
        </w:rPr>
        <w:t xml:space="preserve">asūtītāja pieprasījuma, ja </w:t>
      </w:r>
      <w:r w:rsidR="0002689E" w:rsidRPr="004D1BF1">
        <w:rPr>
          <w:sz w:val="24"/>
          <w:szCs w:val="24"/>
        </w:rPr>
        <w:t xml:space="preserve">vismaz 1 (vienam) no norādītajiem izpildītajiem pakalpojumiem apjoms naudas izteiksmē ir ne mazāks kā </w:t>
      </w:r>
      <w:r w:rsidR="0002689E" w:rsidRPr="00C25495">
        <w:rPr>
          <w:sz w:val="24"/>
          <w:szCs w:val="24"/>
        </w:rPr>
        <w:t>50</w:t>
      </w:r>
      <w:r w:rsidR="00B54318">
        <w:rPr>
          <w:sz w:val="24"/>
          <w:szCs w:val="24"/>
        </w:rPr>
        <w:t> </w:t>
      </w:r>
      <w:r w:rsidR="0002689E" w:rsidRPr="00C25495">
        <w:rPr>
          <w:sz w:val="24"/>
          <w:szCs w:val="24"/>
        </w:rPr>
        <w:t>000</w:t>
      </w:r>
      <w:r w:rsidR="00B54318">
        <w:rPr>
          <w:sz w:val="24"/>
          <w:szCs w:val="24"/>
        </w:rPr>
        <w:t xml:space="preserve"> EUR </w:t>
      </w:r>
      <w:r>
        <w:rPr>
          <w:sz w:val="24"/>
          <w:szCs w:val="24"/>
        </w:rPr>
        <w:t xml:space="preserve">(piecdesmit tūkstoši </w:t>
      </w:r>
      <w:proofErr w:type="spellStart"/>
      <w:r w:rsidRPr="004D1BF1">
        <w:rPr>
          <w:i/>
          <w:iCs/>
          <w:sz w:val="24"/>
          <w:szCs w:val="24"/>
        </w:rPr>
        <w:t>euro</w:t>
      </w:r>
      <w:proofErr w:type="spellEnd"/>
      <w:r>
        <w:rPr>
          <w:sz w:val="24"/>
          <w:szCs w:val="24"/>
        </w:rPr>
        <w:t>)</w:t>
      </w:r>
      <w:r w:rsidR="00C25495">
        <w:rPr>
          <w:sz w:val="24"/>
          <w:szCs w:val="24"/>
        </w:rPr>
        <w:t xml:space="preserve"> </w:t>
      </w:r>
      <w:r w:rsidR="0002689E" w:rsidRPr="004D1BF1">
        <w:rPr>
          <w:sz w:val="24"/>
          <w:szCs w:val="24"/>
        </w:rPr>
        <w:t>bez PVN 12 (divpadsmit) mēnešu periodā.</w:t>
      </w:r>
    </w:p>
    <w:p w:rsidR="004D1BF1" w:rsidRPr="004D1BF1" w:rsidRDefault="004D1BF1" w:rsidP="004D1BF1">
      <w:pPr>
        <w:ind w:left="788"/>
        <w:jc w:val="right"/>
        <w:rPr>
          <w:i/>
          <w:iCs/>
          <w:sz w:val="20"/>
        </w:rPr>
      </w:pPr>
      <w:r w:rsidRPr="004D1BF1">
        <w:rPr>
          <w:i/>
          <w:iCs/>
          <w:sz w:val="20"/>
        </w:rPr>
        <w:t>1.tabula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1842"/>
        <w:gridCol w:w="4565"/>
        <w:gridCol w:w="993"/>
      </w:tblGrid>
      <w:tr w:rsidR="0097105E" w:rsidRPr="0000741F" w:rsidTr="00C25495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</w:tcPr>
          <w:bookmarkEnd w:id="1"/>
          <w:p w:rsidR="00CB68DB" w:rsidRPr="00441C4B" w:rsidRDefault="00CB68DB" w:rsidP="00090D2E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24"/>
                <w:szCs w:val="24"/>
                <w:lang w:eastAsia="lv-LV"/>
              </w:rPr>
            </w:pPr>
            <w:proofErr w:type="spellStart"/>
            <w:r w:rsidRPr="00441C4B">
              <w:rPr>
                <w:sz w:val="24"/>
                <w:szCs w:val="24"/>
                <w:lang w:eastAsia="lv-LV"/>
              </w:rPr>
              <w:t>Nr.p.k</w:t>
            </w:r>
            <w:proofErr w:type="spellEnd"/>
            <w:r w:rsidRPr="00441C4B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098" w:type="dxa"/>
            <w:shd w:val="clear" w:color="auto" w:fill="auto"/>
          </w:tcPr>
          <w:p w:rsidR="00CB68DB" w:rsidRPr="00441C4B" w:rsidRDefault="00CB68DB" w:rsidP="00090D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  <w:lang w:eastAsia="lv-LV"/>
              </w:rPr>
              <w:t>Pretendenta klie</w:t>
            </w:r>
            <w:r w:rsidR="0035520A" w:rsidRPr="00441C4B">
              <w:rPr>
                <w:sz w:val="24"/>
                <w:szCs w:val="24"/>
                <w:lang w:eastAsia="lv-LV"/>
              </w:rPr>
              <w:t xml:space="preserve">nta (pasūtītāja) </w:t>
            </w:r>
            <w:r w:rsidRPr="00441C4B">
              <w:rPr>
                <w:sz w:val="24"/>
                <w:szCs w:val="24"/>
                <w:lang w:eastAsia="lv-LV"/>
              </w:rPr>
              <w:t>nosaukums</w:t>
            </w:r>
            <w:r w:rsidR="0035520A" w:rsidRPr="00441C4B">
              <w:rPr>
                <w:sz w:val="24"/>
                <w:szCs w:val="24"/>
                <w:lang w:eastAsia="lv-LV"/>
              </w:rPr>
              <w:t xml:space="preserve"> un kontaktinformā</w:t>
            </w:r>
            <w:r w:rsidR="00C25495">
              <w:rPr>
                <w:sz w:val="24"/>
                <w:szCs w:val="24"/>
                <w:lang w:eastAsia="lv-LV"/>
              </w:rPr>
              <w:t>c</w:t>
            </w:r>
            <w:r w:rsidR="0035520A" w:rsidRPr="00441C4B">
              <w:rPr>
                <w:sz w:val="24"/>
                <w:szCs w:val="24"/>
                <w:lang w:eastAsia="lv-LV"/>
              </w:rPr>
              <w:t>ija (</w:t>
            </w:r>
            <w:r w:rsidR="0035520A" w:rsidRPr="00441C4B">
              <w:rPr>
                <w:i/>
                <w:iCs/>
                <w:sz w:val="24"/>
                <w:szCs w:val="24"/>
                <w:lang w:eastAsia="lv-LV"/>
              </w:rPr>
              <w:t>vārds, uzvārds, tālruņa nr., e-past</w:t>
            </w:r>
            <w:r w:rsidR="00090D2E" w:rsidRPr="00441C4B">
              <w:rPr>
                <w:i/>
                <w:iCs/>
                <w:sz w:val="24"/>
                <w:szCs w:val="24"/>
                <w:lang w:eastAsia="lv-LV"/>
              </w:rPr>
              <w:t>s</w:t>
            </w:r>
            <w:r w:rsidR="0035520A" w:rsidRPr="00441C4B">
              <w:rPr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842" w:type="dxa"/>
          </w:tcPr>
          <w:p w:rsidR="00CB68DB" w:rsidRPr="00441C4B" w:rsidRDefault="0035520A" w:rsidP="00090D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</w:rPr>
              <w:t xml:space="preserve">Pakalpojuma </w:t>
            </w:r>
            <w:r w:rsidR="003D54E7" w:rsidRPr="00441C4B">
              <w:rPr>
                <w:sz w:val="24"/>
                <w:szCs w:val="24"/>
              </w:rPr>
              <w:t xml:space="preserve">īstenošanas </w:t>
            </w:r>
            <w:r w:rsidRPr="00441C4B">
              <w:rPr>
                <w:sz w:val="24"/>
                <w:szCs w:val="24"/>
              </w:rPr>
              <w:t>periods (</w:t>
            </w:r>
            <w:r w:rsidRPr="00441C4B">
              <w:rPr>
                <w:i/>
                <w:iCs/>
                <w:sz w:val="24"/>
                <w:szCs w:val="24"/>
              </w:rPr>
              <w:t xml:space="preserve">sākuma </w:t>
            </w:r>
            <w:r w:rsidR="003D54E7" w:rsidRPr="00441C4B">
              <w:rPr>
                <w:i/>
                <w:iCs/>
                <w:sz w:val="24"/>
                <w:szCs w:val="24"/>
              </w:rPr>
              <w:t xml:space="preserve">un beigu </w:t>
            </w:r>
            <w:r w:rsidRPr="00441C4B">
              <w:rPr>
                <w:i/>
                <w:iCs/>
                <w:sz w:val="24"/>
                <w:szCs w:val="24"/>
              </w:rPr>
              <w:t xml:space="preserve">datums, </w:t>
            </w:r>
            <w:r w:rsidR="003D54E7" w:rsidRPr="00441C4B">
              <w:rPr>
                <w:i/>
                <w:iCs/>
                <w:sz w:val="24"/>
                <w:szCs w:val="24"/>
              </w:rPr>
              <w:t>kad sniegti pakalpojumi</w:t>
            </w:r>
            <w:r w:rsidRPr="00441C4B">
              <w:rPr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CB68DB" w:rsidRPr="00441C4B" w:rsidRDefault="00090D2E" w:rsidP="00090D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  <w:lang w:eastAsia="lv-LV"/>
              </w:rPr>
              <w:t>Darbības joma, kurā sniegts pakalpojums un s</w:t>
            </w:r>
            <w:r w:rsidR="0035520A" w:rsidRPr="00441C4B">
              <w:rPr>
                <w:sz w:val="24"/>
                <w:szCs w:val="24"/>
                <w:lang w:eastAsia="lv-LV"/>
              </w:rPr>
              <w:t>niegtā pakalpojuma apraksts,</w:t>
            </w:r>
            <w:r w:rsidR="00B54318">
              <w:rPr>
                <w:sz w:val="24"/>
                <w:szCs w:val="24"/>
                <w:lang w:eastAsia="lv-LV"/>
              </w:rPr>
              <w:t xml:space="preserve"> </w:t>
            </w:r>
            <w:r w:rsidRPr="00441C4B">
              <w:rPr>
                <w:sz w:val="24"/>
                <w:szCs w:val="24"/>
              </w:rPr>
              <w:t>kas ļauj pārliecināties, ka tā ietvaros sniegti pakalpojumi</w:t>
            </w:r>
            <w:r w:rsidR="00B54318">
              <w:rPr>
                <w:sz w:val="24"/>
                <w:szCs w:val="24"/>
              </w:rPr>
              <w:t xml:space="preserve"> </w:t>
            </w:r>
            <w:r w:rsidRPr="00441C4B">
              <w:rPr>
                <w:sz w:val="24"/>
                <w:szCs w:val="24"/>
                <w:lang w:eastAsia="lv-LV"/>
              </w:rPr>
              <w:t xml:space="preserve">atbilstoši </w:t>
            </w:r>
            <w:r w:rsidR="0001216C">
              <w:rPr>
                <w:sz w:val="24"/>
                <w:szCs w:val="24"/>
                <w:lang w:eastAsia="lv-LV"/>
              </w:rPr>
              <w:t>1.1</w:t>
            </w:r>
            <w:r w:rsidRPr="00441C4B">
              <w:rPr>
                <w:sz w:val="24"/>
                <w:szCs w:val="24"/>
                <w:lang w:eastAsia="lv-LV"/>
              </w:rPr>
              <w:t>.</w:t>
            </w:r>
            <w:r w:rsidR="009C03DF" w:rsidRPr="00441C4B">
              <w:rPr>
                <w:sz w:val="24"/>
                <w:szCs w:val="24"/>
                <w:lang w:eastAsia="lv-LV"/>
              </w:rPr>
              <w:t xml:space="preserve"> punktā</w:t>
            </w:r>
            <w:r w:rsidRPr="00441C4B">
              <w:rPr>
                <w:sz w:val="24"/>
                <w:szCs w:val="24"/>
                <w:lang w:eastAsia="lv-LV"/>
              </w:rPr>
              <w:t xml:space="preserve"> minētajam.</w:t>
            </w:r>
          </w:p>
          <w:p w:rsidR="003D54E7" w:rsidRPr="00441C4B" w:rsidRDefault="003D54E7" w:rsidP="00090D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</w:rPr>
              <w:t>Veiktie p</w:t>
            </w:r>
            <w:r w:rsidR="00090D2E" w:rsidRPr="00441C4B">
              <w:rPr>
                <w:sz w:val="24"/>
                <w:szCs w:val="24"/>
              </w:rPr>
              <w:t>akalpojuma</w:t>
            </w:r>
            <w:r w:rsidRPr="00441C4B">
              <w:rPr>
                <w:sz w:val="24"/>
                <w:szCs w:val="24"/>
              </w:rPr>
              <w:t xml:space="preserve"> efektivitātes mērījumi </w:t>
            </w:r>
            <w:r w:rsidRPr="00441C4B">
              <w:rPr>
                <w:i/>
                <w:sz w:val="24"/>
                <w:szCs w:val="24"/>
              </w:rPr>
              <w:t>(norāda informāciju par izmantotajām metodēm, resursiem un pētījumiem, kas ļauj novērtēt (atspoguļo) p</w:t>
            </w:r>
            <w:r w:rsidR="006069A5" w:rsidRPr="00441C4B">
              <w:rPr>
                <w:i/>
                <w:sz w:val="24"/>
                <w:szCs w:val="24"/>
              </w:rPr>
              <w:t>akalpojuma</w:t>
            </w:r>
            <w:r w:rsidRPr="00441C4B">
              <w:rPr>
                <w:i/>
                <w:sz w:val="24"/>
                <w:szCs w:val="24"/>
              </w:rPr>
              <w:t xml:space="preserve"> definēto rezultātu sasniegšanu)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843CCD" w:rsidRPr="00441C4B" w:rsidRDefault="0035520A" w:rsidP="00090D2E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1C4B">
              <w:rPr>
                <w:sz w:val="24"/>
                <w:szCs w:val="24"/>
                <w:lang w:eastAsia="lv-LV"/>
              </w:rPr>
              <w:t>Pakalpojuma kopējās izmaksas (līgumcena)</w:t>
            </w:r>
            <w:r w:rsidR="00905E56">
              <w:rPr>
                <w:sz w:val="24"/>
                <w:szCs w:val="24"/>
                <w:lang w:eastAsia="lv-LV"/>
              </w:rPr>
              <w:t xml:space="preserve">, </w:t>
            </w:r>
            <w:r w:rsidRPr="00441C4B">
              <w:rPr>
                <w:sz w:val="24"/>
                <w:szCs w:val="24"/>
                <w:lang w:eastAsia="lv-LV"/>
              </w:rPr>
              <w:t>EUR</w:t>
            </w:r>
          </w:p>
        </w:tc>
      </w:tr>
      <w:tr w:rsidR="0097105E" w:rsidRPr="0000741F" w:rsidTr="00C25495">
        <w:trPr>
          <w:trHeight w:val="215"/>
        </w:trPr>
        <w:tc>
          <w:tcPr>
            <w:tcW w:w="567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98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65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97105E" w:rsidRPr="0000741F" w:rsidTr="00C25495">
        <w:trPr>
          <w:trHeight w:val="70"/>
        </w:trPr>
        <w:tc>
          <w:tcPr>
            <w:tcW w:w="567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98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65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97105E" w:rsidRPr="0000741F" w:rsidTr="00C25495">
        <w:tc>
          <w:tcPr>
            <w:tcW w:w="567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098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65" w:type="dxa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shd w:val="clear" w:color="auto" w:fill="auto"/>
          </w:tcPr>
          <w:p w:rsidR="00CB68DB" w:rsidRPr="0000741F" w:rsidRDefault="00CB68DB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97105E" w:rsidRPr="0000741F" w:rsidTr="00C25495">
        <w:tc>
          <w:tcPr>
            <w:tcW w:w="567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098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65" w:type="dxa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97105E" w:rsidRPr="0000741F" w:rsidTr="00C25495">
        <w:tc>
          <w:tcPr>
            <w:tcW w:w="567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2098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65" w:type="dxa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shd w:val="clear" w:color="auto" w:fill="auto"/>
          </w:tcPr>
          <w:p w:rsidR="003D54E7" w:rsidRPr="0000741F" w:rsidRDefault="003D54E7" w:rsidP="00282EF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</w:tbl>
    <w:p w:rsidR="008770A0" w:rsidRPr="004C04EB" w:rsidRDefault="008770A0" w:rsidP="00C00C19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eastAsia="Calibri"/>
          <w:bCs/>
          <w:iCs/>
          <w:sz w:val="24"/>
          <w:szCs w:val="24"/>
        </w:rPr>
      </w:pPr>
      <w:r w:rsidRPr="008770A0">
        <w:rPr>
          <w:rFonts w:eastAsia="Calibri"/>
          <w:bCs/>
          <w:iCs/>
          <w:sz w:val="24"/>
          <w:szCs w:val="24"/>
        </w:rPr>
        <w:t>Lai apliecinātu Nolikuma 6.2.</w:t>
      </w:r>
      <w:r w:rsidR="0001216C">
        <w:rPr>
          <w:rFonts w:eastAsia="Calibri"/>
          <w:bCs/>
          <w:iCs/>
          <w:sz w:val="24"/>
          <w:szCs w:val="24"/>
        </w:rPr>
        <w:t>3</w:t>
      </w:r>
      <w:r w:rsidRPr="008770A0">
        <w:rPr>
          <w:rFonts w:eastAsia="Calibri"/>
          <w:bCs/>
          <w:iCs/>
          <w:sz w:val="24"/>
          <w:szCs w:val="24"/>
        </w:rPr>
        <w:t xml:space="preserve">. apakšpunktā norādīto pakalpojumu sniegšanu un to apjomu naudas izteiksmē, </w:t>
      </w:r>
      <w:r>
        <w:rPr>
          <w:rFonts w:eastAsia="Calibri"/>
          <w:bCs/>
          <w:iCs/>
          <w:sz w:val="24"/>
          <w:szCs w:val="24"/>
        </w:rPr>
        <w:t>P</w:t>
      </w:r>
      <w:r w:rsidRPr="008770A0">
        <w:rPr>
          <w:rFonts w:eastAsia="Calibri"/>
          <w:bCs/>
          <w:iCs/>
          <w:sz w:val="24"/>
          <w:szCs w:val="24"/>
        </w:rPr>
        <w:t>retendents iesniedz pakalpojumu pasūtītāja atsauksmes vai citus dokumentus (piem</w:t>
      </w:r>
      <w:r w:rsidR="00044112">
        <w:rPr>
          <w:rFonts w:eastAsia="Calibri"/>
          <w:bCs/>
          <w:iCs/>
          <w:sz w:val="24"/>
          <w:szCs w:val="24"/>
        </w:rPr>
        <w:t>.</w:t>
      </w:r>
      <w:r w:rsidRPr="008770A0">
        <w:rPr>
          <w:rFonts w:eastAsia="Calibri"/>
          <w:bCs/>
          <w:iCs/>
          <w:sz w:val="24"/>
          <w:szCs w:val="24"/>
        </w:rPr>
        <w:t>, līgumu un darbu nodošanas – pieņemšanas aktu kopijas, finanšu dokumentus).</w:t>
      </w:r>
    </w:p>
    <w:p w:rsidR="004C04EB" w:rsidRPr="00166AA5" w:rsidRDefault="00A55040" w:rsidP="00C00C19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Pretendents</w:t>
      </w:r>
      <w:r w:rsidR="005F4D83" w:rsidRPr="0000741F">
        <w:rPr>
          <w:rFonts w:eastAsia="Calibri"/>
          <w:bCs/>
          <w:iCs/>
          <w:sz w:val="24"/>
          <w:szCs w:val="24"/>
        </w:rPr>
        <w:t xml:space="preserve"> pievieno vismaz 1 (vien</w:t>
      </w:r>
      <w:r w:rsidR="001D5D42">
        <w:rPr>
          <w:rFonts w:eastAsia="Calibri"/>
          <w:bCs/>
          <w:iCs/>
          <w:sz w:val="24"/>
          <w:szCs w:val="24"/>
        </w:rPr>
        <w:t>a</w:t>
      </w:r>
      <w:r w:rsidR="005F4D83" w:rsidRPr="0000741F">
        <w:rPr>
          <w:rFonts w:eastAsia="Calibri"/>
          <w:bCs/>
          <w:iCs/>
          <w:sz w:val="24"/>
          <w:szCs w:val="24"/>
        </w:rPr>
        <w:t xml:space="preserve">) </w:t>
      </w:r>
      <w:r w:rsidR="005F4D83" w:rsidRPr="0000741F">
        <w:rPr>
          <w:bCs/>
          <w:sz w:val="24"/>
          <w:szCs w:val="24"/>
          <w:shd w:val="clear" w:color="auto" w:fill="FFFFFF"/>
        </w:rPr>
        <w:t xml:space="preserve">no norādītajiem </w:t>
      </w:r>
      <w:r>
        <w:rPr>
          <w:bCs/>
          <w:sz w:val="24"/>
          <w:szCs w:val="24"/>
          <w:shd w:val="clear" w:color="auto" w:fill="FFFFFF"/>
        </w:rPr>
        <w:t>p</w:t>
      </w:r>
      <w:r w:rsidR="005F4D83" w:rsidRPr="0000741F">
        <w:rPr>
          <w:bCs/>
          <w:sz w:val="24"/>
          <w:szCs w:val="24"/>
          <w:shd w:val="clear" w:color="auto" w:fill="FFFFFF"/>
        </w:rPr>
        <w:t>akalpojumiem</w:t>
      </w:r>
      <w:r w:rsidR="00B54318">
        <w:rPr>
          <w:bCs/>
          <w:sz w:val="24"/>
          <w:szCs w:val="24"/>
          <w:shd w:val="clear" w:color="auto" w:fill="FFFFFF"/>
        </w:rPr>
        <w:t xml:space="preserve"> </w:t>
      </w:r>
      <w:r w:rsidR="001D5D42">
        <w:rPr>
          <w:rFonts w:eastAsia="Calibri"/>
          <w:bCs/>
          <w:iCs/>
          <w:sz w:val="24"/>
          <w:szCs w:val="24"/>
        </w:rPr>
        <w:t xml:space="preserve">klienta </w:t>
      </w:r>
      <w:r w:rsidR="005F4D83" w:rsidRPr="0000741F">
        <w:rPr>
          <w:rFonts w:eastAsia="Calibri"/>
          <w:bCs/>
          <w:iCs/>
          <w:sz w:val="24"/>
          <w:szCs w:val="24"/>
        </w:rPr>
        <w:t xml:space="preserve">pozitīvu atsauksmi, </w:t>
      </w:r>
      <w:r w:rsidR="005F4D83" w:rsidRPr="0000741F">
        <w:rPr>
          <w:sz w:val="24"/>
          <w:szCs w:val="24"/>
        </w:rPr>
        <w:t>kurā iekļauta informācija par Pretendenta sniegto informatīvo kampaņu materiālu izvietošanas medijos pakalpojumu kvalitāti.</w:t>
      </w:r>
    </w:p>
    <w:p w:rsidR="00166AA5" w:rsidRDefault="00166AA5" w:rsidP="009B1672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eastAsia="Calibri"/>
          <w:bCs/>
          <w:iCs/>
          <w:sz w:val="24"/>
          <w:szCs w:val="24"/>
        </w:rPr>
      </w:pPr>
      <w:r w:rsidRPr="004C04EB">
        <w:rPr>
          <w:rFonts w:eastAsia="Calibri"/>
          <w:bCs/>
          <w:iCs/>
          <w:sz w:val="24"/>
          <w:szCs w:val="24"/>
        </w:rPr>
        <w:t>Pretendenta</w:t>
      </w:r>
      <w:r w:rsidR="00044112">
        <w:rPr>
          <w:rFonts w:eastAsia="Calibri"/>
          <w:bCs/>
          <w:iCs/>
          <w:sz w:val="24"/>
          <w:szCs w:val="24"/>
        </w:rPr>
        <w:t xml:space="preserve"> rīcībā 2020. gad</w:t>
      </w:r>
      <w:r w:rsidR="00E325E5">
        <w:rPr>
          <w:rFonts w:eastAsia="Calibri"/>
          <w:bCs/>
          <w:iCs/>
          <w:sz w:val="24"/>
          <w:szCs w:val="24"/>
        </w:rPr>
        <w:t>ā</w:t>
      </w:r>
      <w:r w:rsidR="00044112">
        <w:rPr>
          <w:rFonts w:eastAsia="Calibri"/>
          <w:bCs/>
          <w:iCs/>
          <w:sz w:val="24"/>
          <w:szCs w:val="24"/>
        </w:rPr>
        <w:t xml:space="preserve"> un</w:t>
      </w:r>
      <w:r w:rsidR="00B54318">
        <w:rPr>
          <w:rFonts w:eastAsia="Calibri"/>
          <w:bCs/>
          <w:iCs/>
          <w:sz w:val="24"/>
          <w:szCs w:val="24"/>
        </w:rPr>
        <w:t xml:space="preserve"> </w:t>
      </w:r>
      <w:r w:rsidR="00044112">
        <w:rPr>
          <w:rFonts w:eastAsia="Calibri"/>
          <w:bCs/>
          <w:iCs/>
          <w:sz w:val="24"/>
          <w:szCs w:val="24"/>
        </w:rPr>
        <w:t xml:space="preserve">uz </w:t>
      </w:r>
      <w:r>
        <w:rPr>
          <w:rFonts w:eastAsia="Calibri"/>
          <w:bCs/>
          <w:iCs/>
          <w:sz w:val="24"/>
          <w:szCs w:val="24"/>
        </w:rPr>
        <w:t>piedāvājuma iesniegšanas</w:t>
      </w:r>
      <w:r w:rsidRPr="004C04EB">
        <w:rPr>
          <w:rFonts w:eastAsia="Calibri"/>
          <w:bCs/>
          <w:iCs/>
          <w:sz w:val="24"/>
          <w:szCs w:val="24"/>
        </w:rPr>
        <w:t xml:space="preserve"> brīd</w:t>
      </w:r>
      <w:r w:rsidR="00044112">
        <w:rPr>
          <w:rFonts w:eastAsia="Calibri"/>
          <w:bCs/>
          <w:iCs/>
          <w:sz w:val="24"/>
          <w:szCs w:val="24"/>
        </w:rPr>
        <w:t xml:space="preserve">i ir </w:t>
      </w:r>
      <w:r w:rsidRPr="004C04EB">
        <w:rPr>
          <w:rFonts w:eastAsia="Calibri"/>
          <w:bCs/>
          <w:iCs/>
          <w:sz w:val="24"/>
          <w:szCs w:val="24"/>
        </w:rPr>
        <w:t>mediju p</w:t>
      </w:r>
      <w:r w:rsidR="00DF5CFA">
        <w:rPr>
          <w:rFonts w:eastAsia="Calibri"/>
          <w:bCs/>
          <w:iCs/>
          <w:sz w:val="24"/>
          <w:szCs w:val="24"/>
        </w:rPr>
        <w:t>ētījumu datu lietošanas tiesības</w:t>
      </w:r>
      <w:r w:rsidR="00444211">
        <w:rPr>
          <w:rFonts w:eastAsia="Calibri"/>
          <w:bCs/>
          <w:iCs/>
          <w:sz w:val="24"/>
          <w:szCs w:val="24"/>
        </w:rPr>
        <w:t xml:space="preserve"> pilnā apmērā</w:t>
      </w:r>
      <w:r w:rsidR="006568B6">
        <w:rPr>
          <w:rFonts w:eastAsia="Calibri"/>
          <w:bCs/>
          <w:iCs/>
          <w:sz w:val="24"/>
          <w:szCs w:val="24"/>
        </w:rPr>
        <w:t xml:space="preserve">, kas ietver tiesības lietot licencētas datu apstrādes programmatūras un analizēt pilna apjoma datus par Latvijas mediju reklāmas tirgu un pētījumu datus par TV, preses, </w:t>
      </w:r>
      <w:r w:rsidR="006568B6">
        <w:rPr>
          <w:rFonts w:eastAsia="Calibri"/>
          <w:bCs/>
          <w:iCs/>
          <w:sz w:val="24"/>
          <w:szCs w:val="24"/>
        </w:rPr>
        <w:lastRenderedPageBreak/>
        <w:t>radio, vides reklāmu un interneta mediju auditorijām,</w:t>
      </w:r>
      <w:r w:rsidRPr="004C04EB">
        <w:rPr>
          <w:rFonts w:eastAsia="Calibri"/>
          <w:bCs/>
          <w:iCs/>
          <w:sz w:val="24"/>
          <w:szCs w:val="24"/>
        </w:rPr>
        <w:t xml:space="preserve"> no vismaz diviem mediju pētījumu uzņēmumiem</w:t>
      </w:r>
      <w:r w:rsidR="00722AD7">
        <w:rPr>
          <w:rFonts w:eastAsia="Calibri"/>
          <w:bCs/>
          <w:iCs/>
          <w:sz w:val="24"/>
          <w:szCs w:val="24"/>
        </w:rPr>
        <w:t>, iesniedzot</w:t>
      </w:r>
      <w:r w:rsidR="004F4427">
        <w:rPr>
          <w:rFonts w:eastAsia="Calibri"/>
          <w:bCs/>
          <w:iCs/>
          <w:sz w:val="24"/>
          <w:szCs w:val="24"/>
        </w:rPr>
        <w:t xml:space="preserve"> šo faktu apliecinošu</w:t>
      </w:r>
      <w:r w:rsidR="00B54318">
        <w:rPr>
          <w:rFonts w:eastAsia="Calibri"/>
          <w:bCs/>
          <w:iCs/>
          <w:sz w:val="24"/>
          <w:szCs w:val="24"/>
        </w:rPr>
        <w:t xml:space="preserve"> </w:t>
      </w:r>
      <w:bookmarkStart w:id="2" w:name="_GoBack"/>
      <w:bookmarkEnd w:id="2"/>
      <w:r w:rsidR="00722AD7" w:rsidRPr="0000741F">
        <w:rPr>
          <w:rFonts w:eastAsia="Calibri"/>
          <w:bCs/>
          <w:iCs/>
          <w:sz w:val="24"/>
          <w:szCs w:val="24"/>
        </w:rPr>
        <w:t>Pretendent</w:t>
      </w:r>
      <w:r w:rsidR="00722AD7">
        <w:rPr>
          <w:rFonts w:eastAsia="Calibri"/>
          <w:bCs/>
          <w:iCs/>
          <w:sz w:val="24"/>
          <w:szCs w:val="24"/>
        </w:rPr>
        <w:t xml:space="preserve">a </w:t>
      </w:r>
      <w:r w:rsidR="004F4427">
        <w:rPr>
          <w:rFonts w:eastAsia="Calibri"/>
          <w:bCs/>
          <w:iCs/>
          <w:sz w:val="24"/>
          <w:szCs w:val="24"/>
        </w:rPr>
        <w:t>dokumentu/apliecinājumu</w:t>
      </w:r>
      <w:r w:rsidRPr="004C04EB">
        <w:rPr>
          <w:rFonts w:eastAsia="Calibri"/>
          <w:bCs/>
          <w:iCs/>
          <w:sz w:val="24"/>
          <w:szCs w:val="24"/>
        </w:rPr>
        <w:t>.</w:t>
      </w:r>
    </w:p>
    <w:p w:rsidR="009B1672" w:rsidRPr="009B1672" w:rsidRDefault="009B1672" w:rsidP="009B1672">
      <w:pPr>
        <w:pStyle w:val="Sarakstarindkopa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eastAsia="Calibri"/>
          <w:bCs/>
          <w:iCs/>
          <w:sz w:val="24"/>
          <w:szCs w:val="24"/>
        </w:rPr>
      </w:pPr>
    </w:p>
    <w:p w:rsidR="00CC41EC" w:rsidRDefault="0068579E" w:rsidP="00CE63FB">
      <w:pPr>
        <w:autoSpaceDE w:val="0"/>
        <w:autoSpaceDN w:val="0"/>
        <w:adjustRightInd w:val="0"/>
        <w:spacing w:before="120" w:after="120"/>
        <w:jc w:val="both"/>
        <w:rPr>
          <w:bCs/>
          <w:sz w:val="24"/>
          <w:szCs w:val="24"/>
          <w:lang w:eastAsia="lv-LV"/>
        </w:rPr>
      </w:pPr>
      <w:r w:rsidRPr="0000741F">
        <w:rPr>
          <w:bCs/>
          <w:sz w:val="24"/>
          <w:szCs w:val="24"/>
          <w:lang w:eastAsia="lv-LV"/>
        </w:rPr>
        <w:t>&lt;</w:t>
      </w:r>
      <w:r w:rsidRPr="0000741F">
        <w:rPr>
          <w:bCs/>
          <w:i/>
          <w:iCs/>
          <w:sz w:val="24"/>
          <w:szCs w:val="24"/>
          <w:lang w:eastAsia="lv-LV"/>
        </w:rPr>
        <w:t>Pretendenta nosaukums</w:t>
      </w:r>
      <w:r w:rsidRPr="0000741F">
        <w:rPr>
          <w:bCs/>
          <w:sz w:val="24"/>
          <w:szCs w:val="24"/>
          <w:lang w:eastAsia="lv-LV"/>
        </w:rPr>
        <w:t xml:space="preserve">&gt;, parakstot un iesniedzot šo Apliecinājumu, apliecina, ka visa Nolikuma </w:t>
      </w:r>
      <w:r w:rsidR="00154195">
        <w:rPr>
          <w:bCs/>
          <w:sz w:val="24"/>
          <w:szCs w:val="24"/>
          <w:lang w:eastAsia="lv-LV"/>
        </w:rPr>
        <w:t>2</w:t>
      </w:r>
      <w:r w:rsidRPr="0000741F">
        <w:rPr>
          <w:bCs/>
          <w:sz w:val="24"/>
          <w:szCs w:val="24"/>
          <w:lang w:eastAsia="lv-LV"/>
        </w:rPr>
        <w:t>. pielikumā iesniegto dokumentu, atvasinājumu un tulkojumu, t.sk., Apliecinājumā iesniegtā informācija un dati ir patiesi.</w:t>
      </w:r>
    </w:p>
    <w:p w:rsidR="00324ABB" w:rsidRPr="0000741F" w:rsidRDefault="00324ABB" w:rsidP="00CE63FB">
      <w:pPr>
        <w:autoSpaceDE w:val="0"/>
        <w:autoSpaceDN w:val="0"/>
        <w:adjustRightInd w:val="0"/>
        <w:spacing w:before="120" w:after="120"/>
        <w:jc w:val="both"/>
        <w:rPr>
          <w:bCs/>
          <w:sz w:val="24"/>
          <w:szCs w:val="24"/>
          <w:lang w:eastAsia="lv-LV"/>
        </w:rPr>
      </w:pPr>
    </w:p>
    <w:p w:rsidR="00A64036" w:rsidRPr="00A64036" w:rsidRDefault="00A64036" w:rsidP="00A64036">
      <w:pPr>
        <w:suppressAutoHyphens/>
        <w:spacing w:before="240"/>
        <w:ind w:left="788" w:hanging="788"/>
        <w:jc w:val="both"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>Pretendenta pilnvarotā (paraksta tiesīgā) persona:</w:t>
      </w:r>
    </w:p>
    <w:p w:rsidR="00A64036" w:rsidRPr="00A64036" w:rsidRDefault="00A64036" w:rsidP="00A64036">
      <w:pPr>
        <w:suppressAutoHyphens/>
        <w:ind w:left="786" w:hanging="786"/>
        <w:jc w:val="both"/>
        <w:rPr>
          <w:sz w:val="24"/>
          <w:szCs w:val="24"/>
          <w:lang w:eastAsia="ar-SA"/>
        </w:rPr>
      </w:pPr>
    </w:p>
    <w:p w:rsidR="00A64036" w:rsidRPr="00A64036" w:rsidRDefault="00A64036" w:rsidP="00A64036">
      <w:pPr>
        <w:suppressAutoHyphens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 xml:space="preserve"> ___________________        _________________  ______________________</w:t>
      </w:r>
    </w:p>
    <w:p w:rsidR="00A64036" w:rsidRPr="00A64036" w:rsidRDefault="00A64036" w:rsidP="00A64036">
      <w:pPr>
        <w:suppressAutoHyphens/>
        <w:jc w:val="both"/>
        <w:rPr>
          <w:i/>
          <w:iCs/>
          <w:color w:val="000000"/>
          <w:sz w:val="20"/>
          <w:lang w:eastAsia="ar-SA"/>
        </w:rPr>
      </w:pPr>
      <w:r w:rsidRPr="00A64036">
        <w:rPr>
          <w:i/>
          <w:iCs/>
          <w:color w:val="000000"/>
          <w:sz w:val="20"/>
          <w:lang w:eastAsia="ar-SA"/>
        </w:rPr>
        <w:t xml:space="preserve">    /vārds, uzvārds/                               /amats/                                 /paraksts/  </w:t>
      </w:r>
    </w:p>
    <w:p w:rsidR="00A64036" w:rsidRPr="00A64036" w:rsidRDefault="00A64036" w:rsidP="00A64036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A64036" w:rsidRPr="00A64036" w:rsidRDefault="00A64036" w:rsidP="00A64036">
      <w:pPr>
        <w:rPr>
          <w:color w:val="000000"/>
          <w:sz w:val="24"/>
          <w:szCs w:val="24"/>
        </w:rPr>
      </w:pPr>
      <w:r w:rsidRPr="00A64036">
        <w:rPr>
          <w:color w:val="000000"/>
          <w:sz w:val="24"/>
          <w:szCs w:val="24"/>
          <w:lang w:eastAsia="lv-LV"/>
        </w:rPr>
        <w:t>____________________2020. gada ___.________________</w:t>
      </w:r>
    </w:p>
    <w:p w:rsidR="00A64036" w:rsidRPr="00A64036" w:rsidRDefault="00A64036" w:rsidP="00A64036">
      <w:pPr>
        <w:rPr>
          <w:i/>
          <w:color w:val="000000"/>
          <w:sz w:val="20"/>
          <w:lang w:eastAsia="lv-LV"/>
        </w:rPr>
      </w:pPr>
      <w:r w:rsidRPr="00A64036">
        <w:rPr>
          <w:i/>
          <w:color w:val="000000"/>
          <w:sz w:val="20"/>
          <w:lang w:eastAsia="lv-LV"/>
        </w:rPr>
        <w:t>/sagatavošanas vieta/</w:t>
      </w:r>
    </w:p>
    <w:p w:rsidR="00A64036" w:rsidRPr="00A64036" w:rsidRDefault="00A64036" w:rsidP="00A64036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CC41EC" w:rsidRPr="00CC41EC" w:rsidRDefault="00CC41EC" w:rsidP="00CC41EC">
      <w:pPr>
        <w:tabs>
          <w:tab w:val="left" w:pos="3150"/>
        </w:tabs>
      </w:pPr>
    </w:p>
    <w:sectPr w:rsidR="00CC41EC" w:rsidRPr="00CC41EC" w:rsidSect="00B24089">
      <w:footerReference w:type="default" r:id="rId8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34" w:rsidRDefault="00164F34" w:rsidP="00D66237">
      <w:r>
        <w:separator/>
      </w:r>
    </w:p>
  </w:endnote>
  <w:endnote w:type="continuationSeparator" w:id="0">
    <w:p w:rsidR="00164F34" w:rsidRDefault="00164F34" w:rsidP="00D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89608495"/>
      <w:docPartObj>
        <w:docPartGallery w:val="Page Numbers (Bottom of Page)"/>
        <w:docPartUnique/>
      </w:docPartObj>
    </w:sdtPr>
    <w:sdtEndPr/>
    <w:sdtContent>
      <w:p w:rsidR="00D66237" w:rsidRPr="00D66237" w:rsidRDefault="00D309E1">
        <w:pPr>
          <w:pStyle w:val="Kjene"/>
          <w:jc w:val="center"/>
          <w:rPr>
            <w:sz w:val="24"/>
            <w:szCs w:val="24"/>
          </w:rPr>
        </w:pPr>
        <w:r w:rsidRPr="00D66237">
          <w:rPr>
            <w:sz w:val="24"/>
            <w:szCs w:val="24"/>
          </w:rPr>
          <w:fldChar w:fldCharType="begin"/>
        </w:r>
        <w:r w:rsidR="00D66237" w:rsidRPr="00D66237">
          <w:rPr>
            <w:sz w:val="24"/>
            <w:szCs w:val="24"/>
          </w:rPr>
          <w:instrText>PAGE   \* MERGEFORMAT</w:instrText>
        </w:r>
        <w:r w:rsidRPr="00D66237">
          <w:rPr>
            <w:sz w:val="24"/>
            <w:szCs w:val="24"/>
          </w:rPr>
          <w:fldChar w:fldCharType="separate"/>
        </w:r>
        <w:r w:rsidR="001070B8">
          <w:rPr>
            <w:noProof/>
            <w:sz w:val="24"/>
            <w:szCs w:val="24"/>
          </w:rPr>
          <w:t>1</w:t>
        </w:r>
        <w:r w:rsidRPr="00D66237">
          <w:rPr>
            <w:sz w:val="24"/>
            <w:szCs w:val="24"/>
          </w:rPr>
          <w:fldChar w:fldCharType="end"/>
        </w:r>
      </w:p>
    </w:sdtContent>
  </w:sdt>
  <w:p w:rsidR="00D66237" w:rsidRDefault="00D662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34" w:rsidRDefault="00164F34" w:rsidP="00D66237">
      <w:r>
        <w:separator/>
      </w:r>
    </w:p>
  </w:footnote>
  <w:footnote w:type="continuationSeparator" w:id="0">
    <w:p w:rsidR="00164F34" w:rsidRDefault="00164F34" w:rsidP="00D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2370"/>
    <w:multiLevelType w:val="multilevel"/>
    <w:tmpl w:val="AC7CB722"/>
    <w:styleLink w:val="WWOutlineListStyle5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ABULAI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8E47449"/>
    <w:multiLevelType w:val="hybridMultilevel"/>
    <w:tmpl w:val="F0C8C210"/>
    <w:lvl w:ilvl="0" w:tplc="78D29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529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3FB"/>
    <w:rsid w:val="0000741F"/>
    <w:rsid w:val="0001216C"/>
    <w:rsid w:val="0002689E"/>
    <w:rsid w:val="00044112"/>
    <w:rsid w:val="00047808"/>
    <w:rsid w:val="000519A6"/>
    <w:rsid w:val="00074DBB"/>
    <w:rsid w:val="00090D2E"/>
    <w:rsid w:val="000A1162"/>
    <w:rsid w:val="000A2187"/>
    <w:rsid w:val="000B34E2"/>
    <w:rsid w:val="000C11D6"/>
    <w:rsid w:val="000D5EEA"/>
    <w:rsid w:val="000E6CD6"/>
    <w:rsid w:val="001070B8"/>
    <w:rsid w:val="00131CEA"/>
    <w:rsid w:val="001501EC"/>
    <w:rsid w:val="00154195"/>
    <w:rsid w:val="00164AD4"/>
    <w:rsid w:val="00164F34"/>
    <w:rsid w:val="00166AA5"/>
    <w:rsid w:val="00174D82"/>
    <w:rsid w:val="001816DF"/>
    <w:rsid w:val="00184191"/>
    <w:rsid w:val="00194BD7"/>
    <w:rsid w:val="001B67BD"/>
    <w:rsid w:val="001D1445"/>
    <w:rsid w:val="001D5D42"/>
    <w:rsid w:val="002278F9"/>
    <w:rsid w:val="00240F29"/>
    <w:rsid w:val="00282EF2"/>
    <w:rsid w:val="00324ABB"/>
    <w:rsid w:val="00346DE9"/>
    <w:rsid w:val="0035520A"/>
    <w:rsid w:val="00392865"/>
    <w:rsid w:val="003A5E70"/>
    <w:rsid w:val="003C30DF"/>
    <w:rsid w:val="003D4D82"/>
    <w:rsid w:val="003D54E7"/>
    <w:rsid w:val="00441C4B"/>
    <w:rsid w:val="00444211"/>
    <w:rsid w:val="004452C9"/>
    <w:rsid w:val="004B06BE"/>
    <w:rsid w:val="004C04EB"/>
    <w:rsid w:val="004D1BF1"/>
    <w:rsid w:val="004F4427"/>
    <w:rsid w:val="0053419D"/>
    <w:rsid w:val="005433D1"/>
    <w:rsid w:val="005709D8"/>
    <w:rsid w:val="005C68BF"/>
    <w:rsid w:val="005F44FA"/>
    <w:rsid w:val="005F4D83"/>
    <w:rsid w:val="006069A5"/>
    <w:rsid w:val="00653A5A"/>
    <w:rsid w:val="006568B6"/>
    <w:rsid w:val="0066796B"/>
    <w:rsid w:val="0068579E"/>
    <w:rsid w:val="00722AD7"/>
    <w:rsid w:val="00746691"/>
    <w:rsid w:val="007517C0"/>
    <w:rsid w:val="00795F1B"/>
    <w:rsid w:val="007B578C"/>
    <w:rsid w:val="007D6660"/>
    <w:rsid w:val="007E4110"/>
    <w:rsid w:val="008165DF"/>
    <w:rsid w:val="0081709C"/>
    <w:rsid w:val="00843CCD"/>
    <w:rsid w:val="00846A20"/>
    <w:rsid w:val="008753F7"/>
    <w:rsid w:val="008770A0"/>
    <w:rsid w:val="00882EEB"/>
    <w:rsid w:val="008A7E1C"/>
    <w:rsid w:val="008B6523"/>
    <w:rsid w:val="008D493C"/>
    <w:rsid w:val="008F7E84"/>
    <w:rsid w:val="00905E56"/>
    <w:rsid w:val="0097105E"/>
    <w:rsid w:val="00973CE9"/>
    <w:rsid w:val="009821C4"/>
    <w:rsid w:val="009B1672"/>
    <w:rsid w:val="009B20FD"/>
    <w:rsid w:val="009C03DF"/>
    <w:rsid w:val="009C6170"/>
    <w:rsid w:val="009E27CF"/>
    <w:rsid w:val="009F736A"/>
    <w:rsid w:val="00A55040"/>
    <w:rsid w:val="00A64036"/>
    <w:rsid w:val="00A93B51"/>
    <w:rsid w:val="00B02FE0"/>
    <w:rsid w:val="00B06390"/>
    <w:rsid w:val="00B164B1"/>
    <w:rsid w:val="00B24089"/>
    <w:rsid w:val="00B54318"/>
    <w:rsid w:val="00B610CB"/>
    <w:rsid w:val="00C00C19"/>
    <w:rsid w:val="00C01FA8"/>
    <w:rsid w:val="00C25495"/>
    <w:rsid w:val="00C77A37"/>
    <w:rsid w:val="00C8621E"/>
    <w:rsid w:val="00CB4AB8"/>
    <w:rsid w:val="00CB4E09"/>
    <w:rsid w:val="00CB68DB"/>
    <w:rsid w:val="00CC41EC"/>
    <w:rsid w:val="00CD7311"/>
    <w:rsid w:val="00CE63FB"/>
    <w:rsid w:val="00CF135A"/>
    <w:rsid w:val="00D156B3"/>
    <w:rsid w:val="00D245FC"/>
    <w:rsid w:val="00D309E1"/>
    <w:rsid w:val="00D51717"/>
    <w:rsid w:val="00D66237"/>
    <w:rsid w:val="00D71054"/>
    <w:rsid w:val="00DA0A4E"/>
    <w:rsid w:val="00DE046F"/>
    <w:rsid w:val="00DF1636"/>
    <w:rsid w:val="00DF5CFA"/>
    <w:rsid w:val="00E04E9E"/>
    <w:rsid w:val="00E325E5"/>
    <w:rsid w:val="00E423D8"/>
    <w:rsid w:val="00E62577"/>
    <w:rsid w:val="00E945C3"/>
    <w:rsid w:val="00E945F5"/>
    <w:rsid w:val="00EC14D0"/>
    <w:rsid w:val="00EF0F30"/>
    <w:rsid w:val="00F60B52"/>
    <w:rsid w:val="00F665DE"/>
    <w:rsid w:val="00FC4FE0"/>
    <w:rsid w:val="00FD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0EEBE"/>
  <w15:docId w15:val="{BA5F7118-047E-40A1-91B9-2404DE2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3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41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4191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uiPriority w:val="99"/>
    <w:rsid w:val="008170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1709C"/>
    <w:rPr>
      <w:color w:val="000000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170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46DE9"/>
    <w:pPr>
      <w:ind w:left="720"/>
      <w:contextualSpacing/>
    </w:pPr>
  </w:style>
  <w:style w:type="paragraph" w:customStyle="1" w:styleId="TABULAI">
    <w:name w:val="TABULAI"/>
    <w:basedOn w:val="Parasts"/>
    <w:qFormat/>
    <w:rsid w:val="00346DE9"/>
    <w:pPr>
      <w:numPr>
        <w:ilvl w:val="3"/>
        <w:numId w:val="3"/>
      </w:numPr>
      <w:jc w:val="both"/>
    </w:pPr>
    <w:rPr>
      <w:rFonts w:eastAsia="Calibri"/>
      <w:sz w:val="24"/>
      <w:szCs w:val="22"/>
    </w:rPr>
  </w:style>
  <w:style w:type="numbering" w:customStyle="1" w:styleId="WWOutlineListStyle5111">
    <w:name w:val="WW_OutlineListStyle_5111"/>
    <w:rsid w:val="00346DE9"/>
    <w:pPr>
      <w:numPr>
        <w:numId w:val="3"/>
      </w:numPr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F29"/>
    <w:rPr>
      <w:b/>
      <w:bCs/>
      <w:color w:val="auto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F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Reatabula">
    <w:name w:val="Table Grid"/>
    <w:basedOn w:val="Parastatabula"/>
    <w:uiPriority w:val="59"/>
    <w:rsid w:val="000B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2F9C-5A37-4134-BBC0-080B0CC3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8</cp:revision>
  <dcterms:created xsi:type="dcterms:W3CDTF">2020-08-18T09:06:00Z</dcterms:created>
  <dcterms:modified xsi:type="dcterms:W3CDTF">2020-08-19T06:09:00Z</dcterms:modified>
</cp:coreProperties>
</file>