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24C" w:rsidRPr="0001260E" w:rsidRDefault="00B2324C" w:rsidP="00290936">
      <w:pPr>
        <w:spacing w:before="60" w:after="60"/>
        <w:jc w:val="center"/>
        <w:rPr>
          <w:lang w:val="lv-LV"/>
        </w:rPr>
      </w:pPr>
      <w:bookmarkStart w:id="0" w:name="_Hlk40701120"/>
      <w:bookmarkStart w:id="1" w:name="_Hlk43277620"/>
      <w:r w:rsidRPr="0001260E">
        <w:rPr>
          <w:lang w:val="lv-LV"/>
        </w:rPr>
        <w:t>Rīgas domes Izglītības, kultūras un sporta departamenta atklātā konkursa</w:t>
      </w:r>
    </w:p>
    <w:p w:rsidR="00B2324C" w:rsidRPr="0001260E" w:rsidRDefault="00B2324C" w:rsidP="00233F11">
      <w:pPr>
        <w:spacing w:before="60" w:after="60"/>
        <w:jc w:val="center"/>
        <w:rPr>
          <w:b/>
          <w:bCs/>
          <w:lang w:val="lv-LV"/>
        </w:rPr>
      </w:pPr>
      <w:r w:rsidRPr="0001260E">
        <w:rPr>
          <w:b/>
          <w:bCs/>
          <w:lang w:val="lv-LV"/>
        </w:rPr>
        <w:t>“I</w:t>
      </w:r>
      <w:r w:rsidR="00290936" w:rsidRPr="0001260E">
        <w:rPr>
          <w:b/>
          <w:bCs/>
          <w:lang w:val="lv-LV"/>
        </w:rPr>
        <w:t xml:space="preserve">nformatīvo kampaņu </w:t>
      </w:r>
      <w:r w:rsidR="00FC0BCA" w:rsidRPr="0001260E">
        <w:rPr>
          <w:b/>
          <w:bCs/>
          <w:lang w:val="lv-LV"/>
        </w:rPr>
        <w:t xml:space="preserve">materiālu </w:t>
      </w:r>
      <w:r w:rsidR="00290936" w:rsidRPr="0001260E">
        <w:rPr>
          <w:b/>
          <w:bCs/>
          <w:lang w:val="lv-LV"/>
        </w:rPr>
        <w:t>izvietošana medijos</w:t>
      </w:r>
      <w:bookmarkEnd w:id="0"/>
      <w:r w:rsidRPr="0001260E">
        <w:rPr>
          <w:b/>
          <w:bCs/>
          <w:lang w:val="lv-LV"/>
        </w:rPr>
        <w:t>”</w:t>
      </w:r>
    </w:p>
    <w:p w:rsidR="00FD3A54" w:rsidRPr="0001260E" w:rsidRDefault="00B2324C" w:rsidP="00233F11">
      <w:pPr>
        <w:spacing w:before="60" w:after="60"/>
        <w:jc w:val="center"/>
        <w:rPr>
          <w:lang w:val="lv-LV"/>
        </w:rPr>
      </w:pPr>
      <w:r w:rsidRPr="0001260E">
        <w:rPr>
          <w:lang w:val="lv-LV"/>
        </w:rPr>
        <w:t>(identifikācijas Nr. RD IKSD 2020/</w:t>
      </w:r>
      <w:r w:rsidR="00290936" w:rsidRPr="0001260E">
        <w:rPr>
          <w:lang w:val="lv-LV"/>
        </w:rPr>
        <w:t>9</w:t>
      </w:r>
      <w:r w:rsidRPr="0001260E">
        <w:rPr>
          <w:lang w:val="lv-LV"/>
        </w:rPr>
        <w:t>)</w:t>
      </w:r>
      <w:bookmarkEnd w:id="1"/>
    </w:p>
    <w:p w:rsidR="00BF68CC" w:rsidRPr="0001260E" w:rsidRDefault="0007139A" w:rsidP="00BF68CC">
      <w:pPr>
        <w:jc w:val="center"/>
        <w:rPr>
          <w:b/>
          <w:bCs/>
          <w:lang w:val="lv-LV"/>
        </w:rPr>
      </w:pPr>
      <w:r w:rsidRPr="0001260E">
        <w:rPr>
          <w:b/>
          <w:bCs/>
          <w:lang w:val="lv-LV"/>
        </w:rPr>
        <w:t>ZIŅOJUMS</w:t>
      </w:r>
    </w:p>
    <w:p w:rsidR="007D4EAB" w:rsidRPr="0001260E" w:rsidRDefault="007D4EAB" w:rsidP="00BF68CC">
      <w:pPr>
        <w:ind w:hanging="426"/>
        <w:rPr>
          <w:b/>
          <w:bCs/>
          <w:lang w:val="lv-LV"/>
        </w:rPr>
      </w:pPr>
      <w:r w:rsidRPr="0001260E">
        <w:rPr>
          <w:lang w:val="lv-LV" w:eastAsia="ar-SA"/>
        </w:rPr>
        <w:t xml:space="preserve">Rīgā, </w:t>
      </w:r>
      <w:r w:rsidR="007B715D">
        <w:rPr>
          <w:lang w:val="lv-LV" w:eastAsia="ar-SA"/>
        </w:rPr>
        <w:t>08</w:t>
      </w:r>
      <w:r w:rsidR="00FD3A54" w:rsidRPr="0001260E">
        <w:rPr>
          <w:lang w:val="lv-LV" w:eastAsia="ar-SA"/>
        </w:rPr>
        <w:t>.</w:t>
      </w:r>
      <w:r w:rsidR="00FC0BCA" w:rsidRPr="0001260E">
        <w:rPr>
          <w:lang w:val="lv-LV" w:eastAsia="ar-SA"/>
        </w:rPr>
        <w:t>10</w:t>
      </w:r>
      <w:r w:rsidRPr="0001260E">
        <w:rPr>
          <w:lang w:val="lv-LV" w:eastAsia="ar-SA"/>
        </w:rPr>
        <w:t>.2020.</w:t>
      </w:r>
    </w:p>
    <w:p w:rsidR="00720973" w:rsidRPr="0001260E" w:rsidRDefault="00720973" w:rsidP="007D4EAB">
      <w:pPr>
        <w:jc w:val="both"/>
        <w:rPr>
          <w:lang w:val="lv-LV" w:eastAsia="ar-SA"/>
        </w:rPr>
      </w:pPr>
    </w:p>
    <w:tbl>
      <w:tblPr>
        <w:tblStyle w:val="Reatabula"/>
        <w:tblW w:w="10467" w:type="dxa"/>
        <w:tblInd w:w="-459" w:type="dxa"/>
        <w:tblLook w:val="04A0" w:firstRow="1" w:lastRow="0" w:firstColumn="1" w:lastColumn="0" w:noHBand="0" w:noVBand="1"/>
      </w:tblPr>
      <w:tblGrid>
        <w:gridCol w:w="4462"/>
        <w:gridCol w:w="6005"/>
      </w:tblGrid>
      <w:tr w:rsidR="000A33AF" w:rsidRPr="00DE2B72" w:rsidTr="007A2D35">
        <w:tc>
          <w:tcPr>
            <w:tcW w:w="4462" w:type="dxa"/>
            <w:tcBorders>
              <w:top w:val="nil"/>
              <w:left w:val="nil"/>
              <w:bottom w:val="single" w:sz="4" w:space="0" w:color="auto"/>
              <w:right w:val="single" w:sz="4" w:space="0" w:color="auto"/>
            </w:tcBorders>
          </w:tcPr>
          <w:p w:rsidR="007D4EAB" w:rsidRPr="00952F18" w:rsidRDefault="00116BA7" w:rsidP="00206DA3">
            <w:pPr>
              <w:spacing w:before="60" w:after="60"/>
              <w:jc w:val="both"/>
              <w:rPr>
                <w:lang w:val="lv-LV" w:eastAsia="ar-SA"/>
              </w:rPr>
            </w:pPr>
            <w:r w:rsidRPr="00952F18">
              <w:rPr>
                <w:lang w:val="lv-LV" w:eastAsia="ar-SA"/>
              </w:rPr>
              <w:t>Pasūtītājs</w:t>
            </w:r>
          </w:p>
        </w:tc>
        <w:tc>
          <w:tcPr>
            <w:tcW w:w="6005" w:type="dxa"/>
            <w:tcBorders>
              <w:top w:val="nil"/>
              <w:left w:val="single" w:sz="4" w:space="0" w:color="auto"/>
              <w:bottom w:val="single" w:sz="4" w:space="0" w:color="auto"/>
              <w:right w:val="nil"/>
            </w:tcBorders>
          </w:tcPr>
          <w:p w:rsidR="007D4EAB" w:rsidRPr="00952F18" w:rsidRDefault="00116BA7" w:rsidP="00206DA3">
            <w:pPr>
              <w:spacing w:before="60" w:after="60"/>
              <w:jc w:val="both"/>
              <w:rPr>
                <w:lang w:val="lv-LV" w:eastAsia="ar-SA"/>
              </w:rPr>
            </w:pPr>
            <w:r w:rsidRPr="00952F18">
              <w:rPr>
                <w:lang w:val="lv-LV" w:eastAsia="ar-SA"/>
              </w:rPr>
              <w:t>Rīgas domes Izglītības, kultūras un sporta departaments (adrese: Krišjāņa Valdemāra ielā 5, Rīgā, LV-1010, RD iestādes kods: 210) ir Rīgas pilsētas pašvaldības (adrese: Rātslaukums 1, Rīga, LV-1050, NMR kods: 90011524360, PVN reģ.</w:t>
            </w:r>
            <w:r w:rsidR="00D33460" w:rsidRPr="00952F18">
              <w:rPr>
                <w:lang w:val="lv-LV" w:eastAsia="ar-SA"/>
              </w:rPr>
              <w:t xml:space="preserve"> n</w:t>
            </w:r>
            <w:r w:rsidRPr="00952F18">
              <w:rPr>
                <w:lang w:val="lv-LV" w:eastAsia="ar-SA"/>
              </w:rPr>
              <w:t>r.: LV90011524360) struktūrvienība</w:t>
            </w:r>
            <w:r w:rsidR="007B715D">
              <w:rPr>
                <w:lang w:val="lv-LV" w:eastAsia="ar-SA"/>
              </w:rPr>
              <w:t>.</w:t>
            </w:r>
          </w:p>
        </w:tc>
      </w:tr>
      <w:tr w:rsidR="00770705" w:rsidRPr="00952F18" w:rsidTr="007A2D35">
        <w:tc>
          <w:tcPr>
            <w:tcW w:w="4462" w:type="dxa"/>
            <w:tcBorders>
              <w:top w:val="single" w:sz="4" w:space="0" w:color="auto"/>
              <w:left w:val="nil"/>
              <w:bottom w:val="single" w:sz="4" w:space="0" w:color="auto"/>
              <w:right w:val="single" w:sz="4" w:space="0" w:color="auto"/>
            </w:tcBorders>
          </w:tcPr>
          <w:p w:rsidR="007D4EAB" w:rsidRPr="00952F18" w:rsidRDefault="0007139A" w:rsidP="00720973">
            <w:pPr>
              <w:spacing w:before="60" w:after="60"/>
              <w:rPr>
                <w:lang w:val="lv-LV" w:eastAsia="ar-SA"/>
              </w:rPr>
            </w:pPr>
            <w:r w:rsidRPr="00952F18">
              <w:rPr>
                <w:lang w:val="lv-LV"/>
              </w:rPr>
              <w:t>I</w:t>
            </w:r>
            <w:r w:rsidR="00116BA7" w:rsidRPr="00952F18">
              <w:rPr>
                <w:lang w:val="lv-LV"/>
              </w:rPr>
              <w:t>epirkuma identifikācijas numurs</w:t>
            </w:r>
          </w:p>
        </w:tc>
        <w:tc>
          <w:tcPr>
            <w:tcW w:w="6005" w:type="dxa"/>
            <w:tcBorders>
              <w:top w:val="single" w:sz="4" w:space="0" w:color="auto"/>
              <w:left w:val="single" w:sz="4" w:space="0" w:color="auto"/>
              <w:bottom w:val="single" w:sz="4" w:space="0" w:color="auto"/>
              <w:right w:val="nil"/>
            </w:tcBorders>
          </w:tcPr>
          <w:p w:rsidR="007D4EAB" w:rsidRPr="00952F18" w:rsidRDefault="00116BA7" w:rsidP="00206DA3">
            <w:pPr>
              <w:spacing w:before="60" w:after="60"/>
              <w:jc w:val="both"/>
              <w:rPr>
                <w:lang w:val="lv-LV" w:eastAsia="ar-SA"/>
              </w:rPr>
            </w:pPr>
            <w:r w:rsidRPr="00952F18">
              <w:rPr>
                <w:lang w:val="lv-LV" w:eastAsia="ar-SA"/>
              </w:rPr>
              <w:t>RD IKSD 2020/</w:t>
            </w:r>
            <w:r w:rsidR="00FC0BCA" w:rsidRPr="00952F18">
              <w:rPr>
                <w:lang w:val="lv-LV" w:eastAsia="ar-SA"/>
              </w:rPr>
              <w:t>9</w:t>
            </w:r>
          </w:p>
        </w:tc>
      </w:tr>
      <w:tr w:rsidR="00770705" w:rsidRPr="00DE2B72" w:rsidTr="007A2D35">
        <w:tc>
          <w:tcPr>
            <w:tcW w:w="4462" w:type="dxa"/>
            <w:tcBorders>
              <w:top w:val="single" w:sz="4" w:space="0" w:color="auto"/>
              <w:left w:val="nil"/>
              <w:bottom w:val="single" w:sz="4" w:space="0" w:color="auto"/>
              <w:right w:val="single" w:sz="4" w:space="0" w:color="auto"/>
            </w:tcBorders>
          </w:tcPr>
          <w:p w:rsidR="007D4EAB" w:rsidRPr="00952F18" w:rsidRDefault="0007139A" w:rsidP="00206DA3">
            <w:pPr>
              <w:spacing w:before="60" w:after="60"/>
              <w:jc w:val="both"/>
              <w:rPr>
                <w:lang w:val="lv-LV" w:eastAsia="ar-SA"/>
              </w:rPr>
            </w:pPr>
            <w:r w:rsidRPr="00952F18">
              <w:rPr>
                <w:lang w:val="lv-LV"/>
              </w:rPr>
              <w:t>I</w:t>
            </w:r>
            <w:r w:rsidR="00116BA7" w:rsidRPr="00952F18">
              <w:rPr>
                <w:lang w:val="lv-LV"/>
              </w:rPr>
              <w:t>epirkuma procedūras veids</w:t>
            </w:r>
          </w:p>
        </w:tc>
        <w:tc>
          <w:tcPr>
            <w:tcW w:w="6005" w:type="dxa"/>
            <w:tcBorders>
              <w:top w:val="single" w:sz="4" w:space="0" w:color="auto"/>
              <w:left w:val="single" w:sz="4" w:space="0" w:color="auto"/>
              <w:bottom w:val="single" w:sz="4" w:space="0" w:color="auto"/>
              <w:right w:val="nil"/>
            </w:tcBorders>
          </w:tcPr>
          <w:p w:rsidR="007D4EAB" w:rsidRPr="00952F18" w:rsidRDefault="00FD3A54" w:rsidP="00206DA3">
            <w:pPr>
              <w:spacing w:before="60" w:after="60"/>
              <w:jc w:val="both"/>
              <w:rPr>
                <w:lang w:val="lv-LV" w:eastAsia="ar-SA"/>
              </w:rPr>
            </w:pPr>
            <w:r w:rsidRPr="00952F18">
              <w:rPr>
                <w:lang w:val="lv-LV" w:eastAsia="ar-SA"/>
              </w:rPr>
              <w:t>Atklāts konkurss</w:t>
            </w:r>
            <w:r w:rsidR="00116BA7" w:rsidRPr="00952F18">
              <w:rPr>
                <w:lang w:val="lv-LV" w:eastAsia="ar-SA"/>
              </w:rPr>
              <w:t xml:space="preserve"> </w:t>
            </w:r>
            <w:r w:rsidRPr="00952F18">
              <w:rPr>
                <w:lang w:val="lv-LV"/>
              </w:rPr>
              <w:t>atbilstoši Publisko iepirkumu likuma (turpmāk – PIL) 8.</w:t>
            </w:r>
            <w:r w:rsidR="00F17854" w:rsidRPr="00952F18">
              <w:rPr>
                <w:lang w:val="lv-LV"/>
              </w:rPr>
              <w:t xml:space="preserve"> </w:t>
            </w:r>
            <w:r w:rsidRPr="00952F18">
              <w:rPr>
                <w:lang w:val="lv-LV"/>
              </w:rPr>
              <w:t>panta pirmās daļas 1.</w:t>
            </w:r>
            <w:r w:rsidR="00F17854" w:rsidRPr="00952F18">
              <w:rPr>
                <w:lang w:val="lv-LV"/>
              </w:rPr>
              <w:t xml:space="preserve"> </w:t>
            </w:r>
            <w:r w:rsidRPr="00952F18">
              <w:rPr>
                <w:lang w:val="lv-LV"/>
              </w:rPr>
              <w:t>punktam</w:t>
            </w:r>
            <w:r w:rsidR="007B715D">
              <w:rPr>
                <w:lang w:val="lv-LV"/>
              </w:rPr>
              <w:t>.</w:t>
            </w:r>
          </w:p>
        </w:tc>
      </w:tr>
      <w:tr w:rsidR="00770705" w:rsidRPr="00952F18" w:rsidTr="007A2D35">
        <w:tc>
          <w:tcPr>
            <w:tcW w:w="4462" w:type="dxa"/>
            <w:tcBorders>
              <w:top w:val="single" w:sz="4" w:space="0" w:color="auto"/>
              <w:left w:val="nil"/>
              <w:bottom w:val="single" w:sz="4" w:space="0" w:color="auto"/>
              <w:right w:val="single" w:sz="4" w:space="0" w:color="auto"/>
            </w:tcBorders>
          </w:tcPr>
          <w:p w:rsidR="00116BA7" w:rsidRPr="00952F18" w:rsidRDefault="00F17854" w:rsidP="00720973">
            <w:pPr>
              <w:spacing w:before="60" w:after="60"/>
              <w:rPr>
                <w:lang w:val="lv-LV"/>
              </w:rPr>
            </w:pPr>
            <w:r w:rsidRPr="00952F18">
              <w:rPr>
                <w:lang w:val="lv-LV"/>
              </w:rPr>
              <w:t>Vispārīgās vienošanās</w:t>
            </w:r>
            <w:r w:rsidR="00116BA7" w:rsidRPr="00952F18">
              <w:rPr>
                <w:lang w:val="lv-LV"/>
              </w:rPr>
              <w:t xml:space="preserve"> priekšmets</w:t>
            </w:r>
          </w:p>
        </w:tc>
        <w:tc>
          <w:tcPr>
            <w:tcW w:w="6005" w:type="dxa"/>
            <w:tcBorders>
              <w:top w:val="single" w:sz="4" w:space="0" w:color="auto"/>
              <w:left w:val="single" w:sz="4" w:space="0" w:color="auto"/>
              <w:bottom w:val="single" w:sz="4" w:space="0" w:color="auto"/>
              <w:right w:val="nil"/>
            </w:tcBorders>
          </w:tcPr>
          <w:p w:rsidR="00FC0BCA" w:rsidRPr="00952F18" w:rsidRDefault="00FC0BCA" w:rsidP="00206DA3">
            <w:pPr>
              <w:tabs>
                <w:tab w:val="num" w:pos="709"/>
              </w:tabs>
              <w:spacing w:before="60" w:after="60"/>
              <w:jc w:val="both"/>
              <w:rPr>
                <w:lang w:val="lv-LV"/>
              </w:rPr>
            </w:pPr>
            <w:r w:rsidRPr="00952F18">
              <w:rPr>
                <w:lang w:val="lv-LV"/>
              </w:rPr>
              <w:t>Iepirkuma priekšmets ir informatīvo kampaņu materiālu izvietošanas plāna izstrāde, informatīvo kampaņu materiālu piegāde (izvietošana) medijiem atbilstoši izstrādātajam plānam, informatīvo kampaņu materiālu izvietošanas medijos koordinēšana, to atspoguļošanas kontrole un optimizācija, informatīvo kampaņu materiālu izvietošanas statistikas piegāde saskaņā ar noteiktajām prasībām.</w:t>
            </w:r>
          </w:p>
          <w:p w:rsidR="00F17854" w:rsidRPr="00952F18" w:rsidRDefault="00333586" w:rsidP="00206DA3">
            <w:pPr>
              <w:tabs>
                <w:tab w:val="num" w:pos="709"/>
              </w:tabs>
              <w:spacing w:before="60" w:after="60"/>
              <w:jc w:val="both"/>
              <w:rPr>
                <w:lang w:val="lv-LV"/>
              </w:rPr>
            </w:pPr>
            <w:r w:rsidRPr="00952F18">
              <w:rPr>
                <w:lang w:val="lv-LV" w:eastAsia="ar-SA"/>
              </w:rPr>
              <w:t>Iepirkuma</w:t>
            </w:r>
            <w:r w:rsidR="00FD3A54" w:rsidRPr="00952F18">
              <w:rPr>
                <w:lang w:val="lv-LV" w:eastAsia="ar-SA"/>
              </w:rPr>
              <w:t xml:space="preserve"> nomenklatūra</w:t>
            </w:r>
            <w:r w:rsidR="00C95158" w:rsidRPr="00952F18">
              <w:rPr>
                <w:lang w:val="lv-LV" w:eastAsia="ar-SA"/>
              </w:rPr>
              <w:t>:</w:t>
            </w:r>
            <w:r w:rsidR="00FD3A54" w:rsidRPr="00952F18">
              <w:rPr>
                <w:lang w:val="lv-LV" w:eastAsia="ar-SA"/>
              </w:rPr>
              <w:t xml:space="preserve"> CPV kod</w:t>
            </w:r>
            <w:r w:rsidR="00F17854" w:rsidRPr="00952F18">
              <w:rPr>
                <w:lang w:val="lv-LV" w:eastAsia="ar-SA"/>
              </w:rPr>
              <w:t>s</w:t>
            </w:r>
            <w:r w:rsidR="00C95158" w:rsidRPr="00952F18">
              <w:rPr>
                <w:lang w:val="lv-LV" w:eastAsia="ar-SA"/>
              </w:rPr>
              <w:t xml:space="preserve"> – </w:t>
            </w:r>
            <w:r w:rsidR="00FC0BCA" w:rsidRPr="00952F18">
              <w:rPr>
                <w:lang w:val="lv-LV"/>
              </w:rPr>
              <w:t>79341000-6 Reklāmas pakalpojumi; 79341400-0 Reklāmas kampaņu pakalpojumi; 79952000-2 Pasākumu organizēšanas pakalpojumi; papildkods 79416000-3 Sabiedrisko attiecību pakalpojumi.</w:t>
            </w:r>
          </w:p>
          <w:p w:rsidR="00FD3A54" w:rsidRPr="00952F18" w:rsidRDefault="00FD3A54" w:rsidP="00206DA3">
            <w:pPr>
              <w:tabs>
                <w:tab w:val="num" w:pos="709"/>
              </w:tabs>
              <w:spacing w:before="60" w:after="60"/>
              <w:jc w:val="both"/>
              <w:rPr>
                <w:lang w:val="lv-LV"/>
              </w:rPr>
            </w:pPr>
            <w:r w:rsidRPr="00952F18">
              <w:rPr>
                <w:lang w:val="lv-LV" w:eastAsia="ar-SA"/>
              </w:rPr>
              <w:t>Iepirkuma priekšmets</w:t>
            </w:r>
            <w:r w:rsidR="00F17854" w:rsidRPr="00952F18">
              <w:rPr>
                <w:lang w:val="lv-LV" w:eastAsia="ar-SA"/>
              </w:rPr>
              <w:t xml:space="preserve"> nav sadalīts</w:t>
            </w:r>
            <w:r w:rsidRPr="00952F18">
              <w:rPr>
                <w:lang w:val="lv-LV" w:eastAsia="ar-SA"/>
              </w:rPr>
              <w:t xml:space="preserve"> </w:t>
            </w:r>
            <w:r w:rsidR="00F17854" w:rsidRPr="00952F18">
              <w:rPr>
                <w:lang w:val="lv-LV" w:eastAsia="ar-SA"/>
              </w:rPr>
              <w:t>iepirkuma daļās</w:t>
            </w:r>
            <w:r w:rsidR="00FC0BCA" w:rsidRPr="00952F18">
              <w:rPr>
                <w:lang w:val="lv-LV" w:eastAsia="ar-SA"/>
              </w:rPr>
              <w:t>.</w:t>
            </w:r>
          </w:p>
        </w:tc>
      </w:tr>
      <w:tr w:rsidR="00770705" w:rsidRPr="00DE2B72" w:rsidTr="007A2D35">
        <w:tc>
          <w:tcPr>
            <w:tcW w:w="4462" w:type="dxa"/>
            <w:tcBorders>
              <w:top w:val="single" w:sz="4" w:space="0" w:color="auto"/>
              <w:left w:val="nil"/>
              <w:bottom w:val="single" w:sz="4" w:space="0" w:color="auto"/>
              <w:right w:val="single" w:sz="4" w:space="0" w:color="auto"/>
            </w:tcBorders>
          </w:tcPr>
          <w:p w:rsidR="00FD3A54" w:rsidRPr="00952F18" w:rsidRDefault="00FD3A54" w:rsidP="00206DA3">
            <w:pPr>
              <w:spacing w:before="60" w:after="60"/>
              <w:jc w:val="both"/>
              <w:rPr>
                <w:lang w:val="lv-LV"/>
              </w:rPr>
            </w:pPr>
            <w:r w:rsidRPr="00952F18">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005" w:type="dxa"/>
            <w:tcBorders>
              <w:top w:val="single" w:sz="4" w:space="0" w:color="auto"/>
              <w:left w:val="single" w:sz="4" w:space="0" w:color="auto"/>
              <w:bottom w:val="single" w:sz="4" w:space="0" w:color="auto"/>
              <w:right w:val="nil"/>
            </w:tcBorders>
          </w:tcPr>
          <w:p w:rsidR="00FD3A54" w:rsidRPr="00952F18" w:rsidRDefault="00FC0BCA" w:rsidP="00206DA3">
            <w:pPr>
              <w:spacing w:before="60" w:after="60"/>
              <w:jc w:val="both"/>
              <w:rPr>
                <w:lang w:val="lv-LV"/>
              </w:rPr>
            </w:pPr>
            <w:r w:rsidRPr="00952F18">
              <w:rPr>
                <w:lang w:val="lv-LV"/>
              </w:rPr>
              <w:t>19</w:t>
            </w:r>
            <w:r w:rsidR="00FD3A54" w:rsidRPr="00952F18">
              <w:rPr>
                <w:lang w:val="lv-LV"/>
              </w:rPr>
              <w:t>.</w:t>
            </w:r>
            <w:r w:rsidRPr="00952F18">
              <w:rPr>
                <w:lang w:val="lv-LV"/>
              </w:rPr>
              <w:t>08</w:t>
            </w:r>
            <w:r w:rsidR="00FD3A54" w:rsidRPr="00952F18">
              <w:rPr>
                <w:lang w:val="lv-LV"/>
              </w:rPr>
              <w:t xml:space="preserve">.2020. paziņojums par </w:t>
            </w:r>
            <w:r w:rsidR="00333586" w:rsidRPr="00952F18">
              <w:rPr>
                <w:lang w:val="lv-LV"/>
              </w:rPr>
              <w:t>vispārīgo vienošanos</w:t>
            </w:r>
            <w:r w:rsidR="00FD3A54" w:rsidRPr="00952F18">
              <w:rPr>
                <w:lang w:val="lv-LV"/>
              </w:rPr>
              <w:t xml:space="preserve"> publicēts Eiropas Savienības Oficiālajā Vēstnesī un Iepirkumu uzraudzības biroja tīmekļvietnē</w:t>
            </w:r>
            <w:r w:rsidR="007B715D">
              <w:rPr>
                <w:lang w:val="lv-LV"/>
              </w:rPr>
              <w:t>.</w:t>
            </w:r>
          </w:p>
        </w:tc>
      </w:tr>
      <w:tr w:rsidR="00770705" w:rsidRPr="00952F18" w:rsidTr="007A2D35">
        <w:tc>
          <w:tcPr>
            <w:tcW w:w="4462" w:type="dxa"/>
            <w:tcBorders>
              <w:top w:val="single" w:sz="4" w:space="0" w:color="auto"/>
              <w:left w:val="nil"/>
              <w:bottom w:val="single" w:sz="4" w:space="0" w:color="auto"/>
              <w:right w:val="single" w:sz="4" w:space="0" w:color="auto"/>
            </w:tcBorders>
          </w:tcPr>
          <w:p w:rsidR="008045DD" w:rsidRPr="00952F18" w:rsidRDefault="00FD3A54" w:rsidP="00340E00">
            <w:pPr>
              <w:spacing w:before="60" w:after="60"/>
              <w:jc w:val="both"/>
              <w:rPr>
                <w:lang w:val="lv-LV"/>
              </w:rPr>
            </w:pPr>
            <w:r w:rsidRPr="00952F18">
              <w:rPr>
                <w:lang w:val="lv-LV"/>
              </w:rPr>
              <w:t>Iepirkuma komisijas sastāvs un tās izveidošanas pamatojums, iepirkuma procedūras dokumentu sagatavotāji un pieaicinātie eksperti</w:t>
            </w:r>
          </w:p>
        </w:tc>
        <w:tc>
          <w:tcPr>
            <w:tcW w:w="6005" w:type="dxa"/>
            <w:tcBorders>
              <w:top w:val="single" w:sz="4" w:space="0" w:color="auto"/>
              <w:left w:val="single" w:sz="4" w:space="0" w:color="auto"/>
              <w:bottom w:val="single" w:sz="4" w:space="0" w:color="auto"/>
              <w:right w:val="nil"/>
            </w:tcBorders>
          </w:tcPr>
          <w:p w:rsidR="00206DA3" w:rsidRPr="00952F18" w:rsidRDefault="00206DA3" w:rsidP="00340E00">
            <w:pPr>
              <w:spacing w:before="60" w:after="60"/>
              <w:jc w:val="both"/>
              <w:rPr>
                <w:lang w:val="lv-LV"/>
              </w:rPr>
            </w:pPr>
            <w:r w:rsidRPr="00952F18">
              <w:rPr>
                <w:lang w:val="lv-LV"/>
              </w:rPr>
              <w:t>Iepirkuma komisija izveidota saskaņā ar Rīgas domes izglītības, kultūras un sporta departamenta 2020. gada 13. jūnija rīkojumu Nr. DIKS-20-599-rs, šādā sastāvā:</w:t>
            </w:r>
          </w:p>
          <w:p w:rsidR="00206DA3" w:rsidRPr="00952F18" w:rsidRDefault="00206DA3" w:rsidP="00340E00">
            <w:pPr>
              <w:spacing w:before="60" w:after="60"/>
              <w:jc w:val="both"/>
              <w:rPr>
                <w:lang w:val="lv-LV"/>
              </w:rPr>
            </w:pPr>
            <w:r w:rsidRPr="00952F18">
              <w:rPr>
                <w:lang w:val="lv-LV"/>
              </w:rPr>
              <w:t>Komisijas priekšsēdētāja: Kristīne Graudumniece</w:t>
            </w:r>
            <w:r w:rsidR="00C1593F" w:rsidRPr="00952F18">
              <w:rPr>
                <w:lang w:val="lv-LV"/>
              </w:rPr>
              <w:t>;</w:t>
            </w:r>
          </w:p>
          <w:p w:rsidR="00206DA3" w:rsidRPr="00952F18" w:rsidRDefault="00206DA3" w:rsidP="00340E00">
            <w:pPr>
              <w:spacing w:before="60" w:after="60"/>
              <w:jc w:val="both"/>
              <w:rPr>
                <w:lang w:val="lv-LV"/>
              </w:rPr>
            </w:pPr>
            <w:r w:rsidRPr="00952F18">
              <w:rPr>
                <w:lang w:val="lv-LV"/>
              </w:rPr>
              <w:t>Komisijas priekšsēdētāja vietniece: Inese Liepa</w:t>
            </w:r>
            <w:r w:rsidR="00C1593F" w:rsidRPr="00952F18">
              <w:rPr>
                <w:lang w:val="lv-LV"/>
              </w:rPr>
              <w:t>;</w:t>
            </w:r>
          </w:p>
          <w:p w:rsidR="008045DD" w:rsidRPr="00952F18" w:rsidRDefault="00206DA3" w:rsidP="00340E00">
            <w:pPr>
              <w:spacing w:before="60" w:after="60"/>
              <w:jc w:val="both"/>
            </w:pPr>
            <w:r w:rsidRPr="00952F18">
              <w:rPr>
                <w:lang w:val="lv-LV"/>
              </w:rPr>
              <w:t>Komisijas locekļi</w:t>
            </w:r>
            <w:r w:rsidRPr="00952F18">
              <w:t>: Anastasija Goļatkina, Alīna Gromova, Indra Vilde, Dzintra Oga-Vasule, Inta Streiča, Marija Meirupska.</w:t>
            </w:r>
          </w:p>
        </w:tc>
      </w:tr>
      <w:tr w:rsidR="00770705" w:rsidRPr="00952F18" w:rsidTr="007A2D35">
        <w:tc>
          <w:tcPr>
            <w:tcW w:w="4462" w:type="dxa"/>
            <w:tcBorders>
              <w:top w:val="single" w:sz="4" w:space="0" w:color="auto"/>
              <w:left w:val="nil"/>
              <w:bottom w:val="single" w:sz="4" w:space="0" w:color="auto"/>
              <w:right w:val="single" w:sz="4" w:space="0" w:color="auto"/>
            </w:tcBorders>
          </w:tcPr>
          <w:p w:rsidR="00FD3A54" w:rsidRPr="00952F18" w:rsidRDefault="00FD3A54" w:rsidP="00340E00">
            <w:pPr>
              <w:spacing w:before="60" w:after="60"/>
              <w:jc w:val="both"/>
              <w:rPr>
                <w:lang w:val="lv-LV"/>
              </w:rPr>
            </w:pPr>
            <w:r w:rsidRPr="00952F18">
              <w:rPr>
                <w:lang w:val="lv-LV"/>
              </w:rPr>
              <w:t>Piedāvājumu iesniegšanas termiņš</w:t>
            </w:r>
          </w:p>
        </w:tc>
        <w:tc>
          <w:tcPr>
            <w:tcW w:w="6005" w:type="dxa"/>
            <w:tcBorders>
              <w:top w:val="single" w:sz="4" w:space="0" w:color="auto"/>
              <w:left w:val="single" w:sz="4" w:space="0" w:color="auto"/>
              <w:bottom w:val="single" w:sz="4" w:space="0" w:color="auto"/>
              <w:right w:val="nil"/>
            </w:tcBorders>
          </w:tcPr>
          <w:p w:rsidR="00FD3A54" w:rsidRPr="00952F18" w:rsidRDefault="00FD3A54" w:rsidP="00340E00">
            <w:pPr>
              <w:spacing w:before="60" w:after="60"/>
              <w:jc w:val="both"/>
              <w:rPr>
                <w:lang w:val="lv-LV"/>
              </w:rPr>
            </w:pPr>
            <w:r w:rsidRPr="00952F18">
              <w:rPr>
                <w:lang w:val="lv-LV"/>
              </w:rPr>
              <w:t xml:space="preserve">Līdz </w:t>
            </w:r>
            <w:r w:rsidR="00206DA3" w:rsidRPr="00952F18">
              <w:rPr>
                <w:lang w:val="lv-LV"/>
              </w:rPr>
              <w:t>23</w:t>
            </w:r>
            <w:r w:rsidRPr="00952F18">
              <w:rPr>
                <w:lang w:val="lv-LV"/>
              </w:rPr>
              <w:t>.</w:t>
            </w:r>
            <w:r w:rsidR="00D90DC3" w:rsidRPr="00952F18">
              <w:rPr>
                <w:lang w:val="lv-LV"/>
              </w:rPr>
              <w:t>09</w:t>
            </w:r>
            <w:r w:rsidRPr="00952F18">
              <w:rPr>
                <w:lang w:val="lv-LV"/>
              </w:rPr>
              <w:t>.2020. plkst.</w:t>
            </w:r>
            <w:r w:rsidR="00070752" w:rsidRPr="00952F18">
              <w:rPr>
                <w:lang w:val="lv-LV"/>
              </w:rPr>
              <w:t xml:space="preserve"> </w:t>
            </w:r>
            <w:r w:rsidRPr="00952F18">
              <w:rPr>
                <w:lang w:val="lv-LV"/>
              </w:rPr>
              <w:t>10</w:t>
            </w:r>
            <w:r w:rsidR="00070752" w:rsidRPr="00952F18">
              <w:rPr>
                <w:lang w:val="lv-LV"/>
              </w:rPr>
              <w:t>.</w:t>
            </w:r>
            <w:r w:rsidRPr="00952F18">
              <w:rPr>
                <w:lang w:val="lv-LV"/>
              </w:rPr>
              <w:t>00</w:t>
            </w:r>
          </w:p>
        </w:tc>
      </w:tr>
      <w:tr w:rsidR="00770705" w:rsidRPr="007B715D" w:rsidTr="00546063">
        <w:tc>
          <w:tcPr>
            <w:tcW w:w="4462" w:type="dxa"/>
            <w:tcBorders>
              <w:top w:val="single" w:sz="4" w:space="0" w:color="auto"/>
              <w:left w:val="nil"/>
              <w:bottom w:val="single" w:sz="4" w:space="0" w:color="auto"/>
              <w:right w:val="single" w:sz="4" w:space="0" w:color="auto"/>
            </w:tcBorders>
          </w:tcPr>
          <w:p w:rsidR="00266ECF" w:rsidRPr="00952F18" w:rsidRDefault="00266ECF" w:rsidP="00340E00">
            <w:pPr>
              <w:spacing w:before="60" w:after="60"/>
              <w:jc w:val="both"/>
              <w:rPr>
                <w:lang w:val="lv-LV"/>
              </w:rPr>
            </w:pPr>
            <w:r w:rsidRPr="00952F18">
              <w:rPr>
                <w:lang w:val="lv-LV"/>
              </w:rPr>
              <w:t>Piedāvājumu atvēršanas vieta, datums un laiks</w:t>
            </w:r>
          </w:p>
        </w:tc>
        <w:tc>
          <w:tcPr>
            <w:tcW w:w="6005" w:type="dxa"/>
            <w:tcBorders>
              <w:top w:val="single" w:sz="4" w:space="0" w:color="auto"/>
              <w:left w:val="single" w:sz="4" w:space="0" w:color="auto"/>
              <w:bottom w:val="single" w:sz="4" w:space="0" w:color="auto"/>
              <w:right w:val="nil"/>
            </w:tcBorders>
          </w:tcPr>
          <w:p w:rsidR="00266ECF" w:rsidRPr="00952F18" w:rsidRDefault="00B82EB3" w:rsidP="00340E00">
            <w:pPr>
              <w:spacing w:before="60" w:after="60"/>
              <w:jc w:val="both"/>
              <w:rPr>
                <w:lang w:val="lv-LV"/>
              </w:rPr>
            </w:pPr>
            <w:r w:rsidRPr="00952F18">
              <w:rPr>
                <w:lang w:val="lv-LV"/>
              </w:rPr>
              <w:t xml:space="preserve">Valsts reģionālās attīstības aģentūras Elektronisko iepirkumu sistēmas </w:t>
            </w:r>
            <w:r w:rsidR="00266ECF" w:rsidRPr="00952F18">
              <w:rPr>
                <w:lang w:val="lv-LV"/>
              </w:rPr>
              <w:t>e-konkursu apakšsistēmas tīmekļvietnē www.eis.gov.lv</w:t>
            </w:r>
            <w:r w:rsidR="007B715D">
              <w:rPr>
                <w:lang w:val="lv-LV"/>
              </w:rPr>
              <w:t>,</w:t>
            </w:r>
            <w:r w:rsidR="00266ECF" w:rsidRPr="00952F18">
              <w:rPr>
                <w:lang w:val="lv-LV"/>
              </w:rPr>
              <w:t xml:space="preserve"> </w:t>
            </w:r>
            <w:r w:rsidR="00D90DC3" w:rsidRPr="00952F18">
              <w:rPr>
                <w:lang w:val="lv-LV"/>
              </w:rPr>
              <w:t>23</w:t>
            </w:r>
            <w:r w:rsidR="00266ECF" w:rsidRPr="00952F18">
              <w:rPr>
                <w:lang w:val="lv-LV"/>
              </w:rPr>
              <w:t>.0</w:t>
            </w:r>
            <w:r w:rsidR="00D90DC3" w:rsidRPr="00952F18">
              <w:rPr>
                <w:lang w:val="lv-LV"/>
              </w:rPr>
              <w:t>9</w:t>
            </w:r>
            <w:r w:rsidR="00266ECF" w:rsidRPr="00952F18">
              <w:rPr>
                <w:lang w:val="lv-LV"/>
              </w:rPr>
              <w:t>.2020. plkst.</w:t>
            </w:r>
            <w:r w:rsidR="00070752" w:rsidRPr="00952F18">
              <w:rPr>
                <w:lang w:val="lv-LV"/>
              </w:rPr>
              <w:t xml:space="preserve"> </w:t>
            </w:r>
            <w:r w:rsidR="00266ECF" w:rsidRPr="00952F18">
              <w:rPr>
                <w:lang w:val="lv-LV"/>
              </w:rPr>
              <w:t>10</w:t>
            </w:r>
            <w:r w:rsidR="00070752" w:rsidRPr="00952F18">
              <w:rPr>
                <w:lang w:val="lv-LV"/>
              </w:rPr>
              <w:t>.</w:t>
            </w:r>
            <w:r w:rsidR="00266ECF" w:rsidRPr="00952F18">
              <w:rPr>
                <w:lang w:val="lv-LV"/>
              </w:rPr>
              <w:t>00</w:t>
            </w:r>
          </w:p>
        </w:tc>
      </w:tr>
      <w:tr w:rsidR="00770705" w:rsidRPr="00952F18" w:rsidTr="00546063">
        <w:tc>
          <w:tcPr>
            <w:tcW w:w="4462" w:type="dxa"/>
            <w:tcBorders>
              <w:top w:val="single" w:sz="4" w:space="0" w:color="auto"/>
              <w:left w:val="nil"/>
              <w:bottom w:val="single" w:sz="4" w:space="0" w:color="auto"/>
              <w:right w:val="single" w:sz="4" w:space="0" w:color="auto"/>
            </w:tcBorders>
          </w:tcPr>
          <w:p w:rsidR="00FD3A54" w:rsidRPr="00952F18" w:rsidRDefault="00FD3A54" w:rsidP="00340E00">
            <w:pPr>
              <w:spacing w:before="60" w:after="60"/>
              <w:jc w:val="both"/>
              <w:rPr>
                <w:lang w:val="lv-LV"/>
              </w:rPr>
            </w:pPr>
            <w:r w:rsidRPr="00952F18">
              <w:rPr>
                <w:lang w:val="lv-LV"/>
              </w:rPr>
              <w:t xml:space="preserve">To piegādātāju nosaukumi, kuri ir iesnieguši piedāvājumus, kā arī piedāvātās </w:t>
            </w:r>
            <w:r w:rsidRPr="00952F18">
              <w:rPr>
                <w:lang w:val="lv-LV"/>
              </w:rPr>
              <w:lastRenderedPageBreak/>
              <w:t>cenas</w:t>
            </w:r>
          </w:p>
        </w:tc>
        <w:tc>
          <w:tcPr>
            <w:tcW w:w="6005" w:type="dxa"/>
            <w:tcBorders>
              <w:top w:val="single" w:sz="4" w:space="0" w:color="auto"/>
              <w:left w:val="single" w:sz="4" w:space="0" w:color="auto"/>
              <w:bottom w:val="single" w:sz="4" w:space="0" w:color="auto"/>
              <w:right w:val="nil"/>
            </w:tcBorders>
          </w:tcPr>
          <w:p w:rsidR="00FD3A54" w:rsidRPr="00952F18" w:rsidRDefault="00FD3A54" w:rsidP="00340E00">
            <w:pPr>
              <w:spacing w:before="60" w:after="60"/>
              <w:jc w:val="both"/>
              <w:rPr>
                <w:lang w:val="lv-LV"/>
              </w:rPr>
            </w:pPr>
            <w:r w:rsidRPr="00952F18">
              <w:rPr>
                <w:lang w:val="lv-LV"/>
              </w:rPr>
              <w:lastRenderedPageBreak/>
              <w:t>Piedāvājumus iesnieguši piegādātāji:</w:t>
            </w:r>
          </w:p>
          <w:p w:rsidR="00340E00" w:rsidRPr="00952F18" w:rsidRDefault="00340E00" w:rsidP="00F56127">
            <w:pPr>
              <w:pStyle w:val="Sarakstarindkopa"/>
              <w:numPr>
                <w:ilvl w:val="0"/>
                <w:numId w:val="10"/>
              </w:numPr>
              <w:ind w:left="357" w:hanging="38"/>
              <w:jc w:val="both"/>
            </w:pPr>
            <w:r w:rsidRPr="00952F18">
              <w:rPr>
                <w:bCs/>
              </w:rPr>
              <w:t>SIA “Idea Havas Media” (40003615516);</w:t>
            </w:r>
          </w:p>
          <w:p w:rsidR="00340E00" w:rsidRPr="00952F18" w:rsidRDefault="00340E00" w:rsidP="00F56127">
            <w:pPr>
              <w:pStyle w:val="Sarakstarindkopa"/>
              <w:numPr>
                <w:ilvl w:val="0"/>
                <w:numId w:val="10"/>
              </w:numPr>
              <w:ind w:left="357" w:hanging="38"/>
              <w:jc w:val="both"/>
            </w:pPr>
            <w:r w:rsidRPr="00952F18">
              <w:rPr>
                <w:bCs/>
              </w:rPr>
              <w:lastRenderedPageBreak/>
              <w:t>SIA “Initiative Latvia” (40103273790);</w:t>
            </w:r>
          </w:p>
          <w:p w:rsidR="00340E00" w:rsidRPr="00952F18" w:rsidRDefault="00340E00" w:rsidP="00F56127">
            <w:pPr>
              <w:pStyle w:val="Sarakstarindkopa"/>
              <w:numPr>
                <w:ilvl w:val="0"/>
                <w:numId w:val="10"/>
              </w:numPr>
              <w:ind w:left="357" w:hanging="38"/>
              <w:jc w:val="both"/>
            </w:pPr>
            <w:r w:rsidRPr="00952F18">
              <w:rPr>
                <w:bCs/>
              </w:rPr>
              <w:t>SIA “Media House” (40003229368);</w:t>
            </w:r>
          </w:p>
          <w:p w:rsidR="00340E00" w:rsidRPr="00952F18" w:rsidRDefault="00340E00" w:rsidP="00F56127">
            <w:pPr>
              <w:pStyle w:val="Sarakstarindkopa"/>
              <w:numPr>
                <w:ilvl w:val="0"/>
                <w:numId w:val="10"/>
              </w:numPr>
              <w:ind w:left="357" w:hanging="38"/>
              <w:jc w:val="both"/>
            </w:pPr>
            <w:r w:rsidRPr="00952F18">
              <w:rPr>
                <w:bCs/>
              </w:rPr>
              <w:t>SIA “OMD LATVIA” (40003386291);</w:t>
            </w:r>
          </w:p>
          <w:p w:rsidR="00340E00" w:rsidRPr="00952F18" w:rsidRDefault="00340E00" w:rsidP="00F56127">
            <w:pPr>
              <w:pStyle w:val="Sarakstarindkopa"/>
              <w:numPr>
                <w:ilvl w:val="0"/>
                <w:numId w:val="10"/>
              </w:numPr>
              <w:ind w:left="357" w:hanging="38"/>
              <w:jc w:val="both"/>
            </w:pPr>
            <w:r w:rsidRPr="00952F18">
              <w:rPr>
                <w:bCs/>
              </w:rPr>
              <w:t>SIA “Trendmark” (40003655006).</w:t>
            </w:r>
          </w:p>
          <w:p w:rsidR="00F30B2D" w:rsidRPr="00952F18" w:rsidRDefault="00F30B2D" w:rsidP="00340E00">
            <w:pPr>
              <w:spacing w:before="60" w:after="60"/>
              <w:jc w:val="both"/>
              <w:rPr>
                <w:lang w:val="lv-LV"/>
              </w:rPr>
            </w:pPr>
            <w:r w:rsidRPr="00952F18">
              <w:rPr>
                <w:lang w:val="lv-LV"/>
              </w:rPr>
              <w:t>Cenu piedāvājums nav attiecināms.</w:t>
            </w:r>
          </w:p>
        </w:tc>
      </w:tr>
      <w:tr w:rsidR="00770705" w:rsidRPr="00952F18" w:rsidTr="00546063">
        <w:tc>
          <w:tcPr>
            <w:tcW w:w="4462" w:type="dxa"/>
            <w:tcBorders>
              <w:top w:val="single" w:sz="4" w:space="0" w:color="auto"/>
              <w:left w:val="nil"/>
              <w:bottom w:val="single" w:sz="4" w:space="0" w:color="auto"/>
              <w:right w:val="single" w:sz="4" w:space="0" w:color="auto"/>
            </w:tcBorders>
          </w:tcPr>
          <w:p w:rsidR="00F30B2D" w:rsidRPr="00952F18" w:rsidRDefault="00F30B2D" w:rsidP="000A33AF">
            <w:pPr>
              <w:spacing w:before="60" w:after="60"/>
              <w:jc w:val="both"/>
              <w:rPr>
                <w:lang w:val="lv-LV"/>
              </w:rPr>
            </w:pPr>
            <w:r w:rsidRPr="00952F18">
              <w:rPr>
                <w:lang w:val="lv-LV"/>
              </w:rPr>
              <w:lastRenderedPageBreak/>
              <w:t>Tā pretendenta nosaukums, kuram piešķirtas iepirkuma līguma slēgšanas tiesības, piedāvātā līgumcena, kā arī piedāvājumu izvērtēšanas kopsavilkums un piedāvājuma izvēles pamatojums</w:t>
            </w:r>
          </w:p>
        </w:tc>
        <w:tc>
          <w:tcPr>
            <w:tcW w:w="6005" w:type="dxa"/>
            <w:tcBorders>
              <w:top w:val="single" w:sz="4" w:space="0" w:color="auto"/>
              <w:left w:val="single" w:sz="4" w:space="0" w:color="auto"/>
              <w:bottom w:val="nil"/>
              <w:right w:val="nil"/>
            </w:tcBorders>
          </w:tcPr>
          <w:p w:rsidR="00F30B2D" w:rsidRPr="00952F18" w:rsidRDefault="00F30B2D" w:rsidP="00233F11">
            <w:pPr>
              <w:spacing w:before="60" w:after="60"/>
              <w:jc w:val="both"/>
              <w:rPr>
                <w:lang w:val="lv-LV"/>
              </w:rPr>
            </w:pPr>
            <w:r w:rsidRPr="00952F18">
              <w:rPr>
                <w:lang w:val="lv-LV"/>
              </w:rPr>
              <w:t>Vispārīgā</w:t>
            </w:r>
            <w:r w:rsidR="00702549" w:rsidRPr="00952F18">
              <w:rPr>
                <w:lang w:val="lv-LV"/>
              </w:rPr>
              <w:t xml:space="preserve">s </w:t>
            </w:r>
            <w:r w:rsidRPr="00952F18">
              <w:rPr>
                <w:lang w:val="lv-LV"/>
              </w:rPr>
              <w:t>vienošanā</w:t>
            </w:r>
            <w:r w:rsidR="00702549" w:rsidRPr="00952F18">
              <w:rPr>
                <w:lang w:val="lv-LV"/>
              </w:rPr>
              <w:t>s</w:t>
            </w:r>
            <w:r w:rsidRPr="00952F18">
              <w:rPr>
                <w:lang w:val="lv-LV"/>
              </w:rPr>
              <w:t xml:space="preserve"> tiesības piešķirtas</w:t>
            </w:r>
            <w:r w:rsidR="00702549" w:rsidRPr="00952F18">
              <w:rPr>
                <w:lang w:val="lv-LV"/>
              </w:rPr>
              <w:t>:</w:t>
            </w:r>
          </w:p>
          <w:p w:rsidR="00F56127" w:rsidRPr="00952F18" w:rsidRDefault="00F56127" w:rsidP="00593C02">
            <w:pPr>
              <w:pStyle w:val="Sarakstarindkopa"/>
              <w:numPr>
                <w:ilvl w:val="0"/>
                <w:numId w:val="9"/>
              </w:numPr>
              <w:jc w:val="both"/>
            </w:pPr>
            <w:r w:rsidRPr="00952F18">
              <w:rPr>
                <w:bCs/>
              </w:rPr>
              <w:t>SIA “Idea Havas Media” (40003615516);</w:t>
            </w:r>
          </w:p>
          <w:p w:rsidR="00F56127" w:rsidRPr="00952F18" w:rsidRDefault="00F56127" w:rsidP="00593C02">
            <w:pPr>
              <w:pStyle w:val="Sarakstarindkopa"/>
              <w:numPr>
                <w:ilvl w:val="0"/>
                <w:numId w:val="9"/>
              </w:numPr>
              <w:jc w:val="both"/>
            </w:pPr>
            <w:r w:rsidRPr="00952F18">
              <w:rPr>
                <w:bCs/>
              </w:rPr>
              <w:t>SIA “Initiative Latvia” (40103273790);</w:t>
            </w:r>
          </w:p>
          <w:p w:rsidR="00F56127" w:rsidRPr="00952F18" w:rsidRDefault="00F56127" w:rsidP="00593C02">
            <w:pPr>
              <w:pStyle w:val="Sarakstarindkopa"/>
              <w:numPr>
                <w:ilvl w:val="0"/>
                <w:numId w:val="9"/>
              </w:numPr>
              <w:jc w:val="both"/>
            </w:pPr>
            <w:r w:rsidRPr="00952F18">
              <w:rPr>
                <w:bCs/>
              </w:rPr>
              <w:t>SIA “Trendmark” (40003655006).</w:t>
            </w:r>
          </w:p>
          <w:p w:rsidR="00702549" w:rsidRPr="00952F18" w:rsidRDefault="00593C02" w:rsidP="00593C02">
            <w:pPr>
              <w:spacing w:before="120" w:after="120"/>
              <w:jc w:val="both"/>
              <w:rPr>
                <w:lang w:val="lv-LV" w:eastAsia="ar-SA"/>
              </w:rPr>
            </w:pPr>
            <w:r w:rsidRPr="00952F18">
              <w:rPr>
                <w:lang w:val="lv-LV" w:eastAsia="ar-SA"/>
              </w:rPr>
              <w:t xml:space="preserve">Vispārīgās vienošanās slēgšanas tiesības tiek piešķirtas ne vairāk kā 3 (trīs) </w:t>
            </w:r>
            <w:r w:rsidR="00C1593F" w:rsidRPr="00952F18">
              <w:rPr>
                <w:lang w:val="lv-LV" w:eastAsia="ar-SA"/>
              </w:rPr>
              <w:t>p</w:t>
            </w:r>
            <w:r w:rsidRPr="00952F18">
              <w:rPr>
                <w:lang w:val="lv-LV" w:eastAsia="ar-SA"/>
              </w:rPr>
              <w:t xml:space="preserve">retendentiem, </w:t>
            </w:r>
            <w:r w:rsidR="00844DCD" w:rsidRPr="00952F18">
              <w:rPr>
                <w:lang w:val="lv-LV" w:eastAsia="ar-SA"/>
              </w:rPr>
              <w:t>kuru</w:t>
            </w:r>
            <w:r w:rsidRPr="00952F18">
              <w:rPr>
                <w:lang w:val="lv-LV" w:eastAsia="ar-SA"/>
              </w:rPr>
              <w:t xml:space="preserve"> iesniegtie piedāvājumi atbilst Nolikum</w:t>
            </w:r>
            <w:r w:rsidR="000A33AF" w:rsidRPr="00952F18">
              <w:rPr>
                <w:lang w:val="lv-LV" w:eastAsia="ar-SA"/>
              </w:rPr>
              <w:t xml:space="preserve">ā noteiktajām </w:t>
            </w:r>
            <w:r w:rsidRPr="00952F18">
              <w:rPr>
                <w:lang w:val="lv-LV" w:eastAsia="ar-SA"/>
              </w:rPr>
              <w:t xml:space="preserve">prasībām, kuri saimnieciski visizdevīgākā piedāvājuma vērtējumā ieguvuši augstāko punktu skaitu atbilstoši Nolikuma 10. sadaļā izvirzītajiem kritērijiem un nav izslēdzami no dalības </w:t>
            </w:r>
            <w:r w:rsidR="00CB4D9E">
              <w:rPr>
                <w:lang w:val="lv-LV" w:eastAsia="ar-SA"/>
              </w:rPr>
              <w:t>Iepirkum</w:t>
            </w:r>
            <w:r w:rsidRPr="00952F18">
              <w:rPr>
                <w:lang w:val="lv-LV" w:eastAsia="ar-SA"/>
              </w:rPr>
              <w:t>ā saskaņā ar PIL 42. pantu un Starptautisko un Latvijas Republikas nacionālo sankciju likuma 11.</w:t>
            </w:r>
            <w:r w:rsidRPr="00952F18">
              <w:rPr>
                <w:vertAlign w:val="superscript"/>
                <w:lang w:val="lv-LV" w:eastAsia="ar-SA"/>
              </w:rPr>
              <w:t>1</w:t>
            </w:r>
            <w:r w:rsidRPr="00952F18">
              <w:rPr>
                <w:lang w:val="lv-LV" w:eastAsia="ar-SA"/>
              </w:rPr>
              <w:t xml:space="preserve"> panta noteikto regulējumu.</w:t>
            </w:r>
          </w:p>
        </w:tc>
      </w:tr>
      <w:tr w:rsidR="00DA1169" w:rsidRPr="00952F18" w:rsidTr="007A2D35">
        <w:trPr>
          <w:trHeight w:val="562"/>
        </w:trPr>
        <w:tc>
          <w:tcPr>
            <w:tcW w:w="10467" w:type="dxa"/>
            <w:gridSpan w:val="2"/>
            <w:tcBorders>
              <w:top w:val="nil"/>
              <w:left w:val="nil"/>
              <w:bottom w:val="nil"/>
              <w:right w:val="nil"/>
            </w:tcBorders>
          </w:tcPr>
          <w:p w:rsidR="00844DCD" w:rsidRPr="00952F18" w:rsidRDefault="00DA1169" w:rsidP="002A4556">
            <w:pPr>
              <w:pStyle w:val="Sarakstarindkopa"/>
              <w:numPr>
                <w:ilvl w:val="0"/>
                <w:numId w:val="14"/>
              </w:numPr>
              <w:spacing w:before="120" w:after="120"/>
              <w:rPr>
                <w:bCs/>
                <w:color w:val="000000"/>
                <w:lang w:val="lv-LV"/>
              </w:rPr>
            </w:pPr>
            <w:r w:rsidRPr="00952F18">
              <w:rPr>
                <w:bCs/>
                <w:lang w:val="lv-LV" w:eastAsia="ar-SA"/>
              </w:rPr>
              <w:t>Piedāvājumu noformēšanas un iesniegšanas</w:t>
            </w:r>
            <w:r w:rsidRPr="00952F18">
              <w:rPr>
                <w:bCs/>
                <w:color w:val="000000"/>
                <w:lang w:val="lv-LV"/>
              </w:rPr>
              <w:t xml:space="preserve"> nosacījumu pārbaude</w:t>
            </w:r>
            <w:r w:rsidR="002A4556" w:rsidRPr="00952F18">
              <w:rPr>
                <w:bCs/>
                <w:color w:val="000000"/>
                <w:lang w:val="lv-LV"/>
              </w:rPr>
              <w:t>s un pretendentu kvalifikācijas dokumentu pārbaudes kopsavilkums</w:t>
            </w:r>
          </w:p>
          <w:tbl>
            <w:tblPr>
              <w:tblStyle w:val="Reatabula"/>
              <w:tblW w:w="0" w:type="auto"/>
              <w:tblInd w:w="3012" w:type="dxa"/>
              <w:tblLook w:val="04A0" w:firstRow="1" w:lastRow="0" w:firstColumn="1" w:lastColumn="0" w:noHBand="0" w:noVBand="1"/>
            </w:tblPr>
            <w:tblGrid>
              <w:gridCol w:w="2368"/>
              <w:gridCol w:w="1560"/>
            </w:tblGrid>
            <w:tr w:rsidR="002C137A" w:rsidRPr="00952F18" w:rsidTr="002A4556">
              <w:tc>
                <w:tcPr>
                  <w:tcW w:w="2368" w:type="dxa"/>
                </w:tcPr>
                <w:p w:rsidR="002C137A" w:rsidRPr="00952F18" w:rsidRDefault="002C137A" w:rsidP="002A4556">
                  <w:pPr>
                    <w:spacing w:before="20" w:after="20"/>
                    <w:jc w:val="both"/>
                    <w:rPr>
                      <w:sz w:val="20"/>
                      <w:szCs w:val="20"/>
                    </w:rPr>
                  </w:pPr>
                  <w:r w:rsidRPr="00952F18">
                    <w:rPr>
                      <w:bCs/>
                      <w:sz w:val="20"/>
                      <w:szCs w:val="20"/>
                    </w:rPr>
                    <w:t>SIA “Idea Havas Media”</w:t>
                  </w:r>
                </w:p>
              </w:tc>
              <w:tc>
                <w:tcPr>
                  <w:tcW w:w="1560" w:type="dxa"/>
                </w:tcPr>
                <w:p w:rsidR="002C137A" w:rsidRPr="00952F18" w:rsidRDefault="002A4556" w:rsidP="002A4556">
                  <w:pPr>
                    <w:pStyle w:val="Sarakstarindkopa"/>
                    <w:spacing w:before="20" w:after="20"/>
                    <w:ind w:left="0"/>
                    <w:jc w:val="both"/>
                    <w:rPr>
                      <w:bCs/>
                      <w:sz w:val="20"/>
                      <w:szCs w:val="20"/>
                      <w:lang w:val="lv-LV"/>
                    </w:rPr>
                  </w:pPr>
                  <w:r w:rsidRPr="00952F18">
                    <w:rPr>
                      <w:bCs/>
                      <w:sz w:val="20"/>
                      <w:szCs w:val="20"/>
                      <w:lang w:val="lv-LV"/>
                    </w:rPr>
                    <w:t>Atbilstošs</w:t>
                  </w:r>
                </w:p>
              </w:tc>
            </w:tr>
            <w:tr w:rsidR="002C137A" w:rsidRPr="00952F18" w:rsidTr="002A4556">
              <w:tc>
                <w:tcPr>
                  <w:tcW w:w="2368" w:type="dxa"/>
                </w:tcPr>
                <w:p w:rsidR="002C137A" w:rsidRPr="00952F18" w:rsidRDefault="002C137A" w:rsidP="002A4556">
                  <w:pPr>
                    <w:spacing w:before="20" w:after="20"/>
                    <w:jc w:val="both"/>
                    <w:rPr>
                      <w:sz w:val="20"/>
                      <w:szCs w:val="20"/>
                    </w:rPr>
                  </w:pPr>
                  <w:r w:rsidRPr="00952F18">
                    <w:rPr>
                      <w:bCs/>
                      <w:sz w:val="20"/>
                      <w:szCs w:val="20"/>
                    </w:rPr>
                    <w:t>SIA “Initiative Latvia”</w:t>
                  </w:r>
                </w:p>
              </w:tc>
              <w:tc>
                <w:tcPr>
                  <w:tcW w:w="1560" w:type="dxa"/>
                </w:tcPr>
                <w:p w:rsidR="002C137A" w:rsidRPr="00952F18" w:rsidRDefault="002A4556" w:rsidP="002A4556">
                  <w:pPr>
                    <w:pStyle w:val="Sarakstarindkopa"/>
                    <w:spacing w:before="20" w:after="20"/>
                    <w:ind w:left="0"/>
                    <w:jc w:val="both"/>
                    <w:rPr>
                      <w:bCs/>
                      <w:sz w:val="20"/>
                      <w:szCs w:val="20"/>
                      <w:lang w:val="lv-LV"/>
                    </w:rPr>
                  </w:pPr>
                  <w:r w:rsidRPr="00952F18">
                    <w:rPr>
                      <w:bCs/>
                      <w:sz w:val="20"/>
                      <w:szCs w:val="20"/>
                      <w:lang w:val="lv-LV"/>
                    </w:rPr>
                    <w:t>Atbilstošs</w:t>
                  </w:r>
                </w:p>
              </w:tc>
            </w:tr>
            <w:tr w:rsidR="002C137A" w:rsidRPr="00952F18" w:rsidTr="002A4556">
              <w:tc>
                <w:tcPr>
                  <w:tcW w:w="2368" w:type="dxa"/>
                </w:tcPr>
                <w:p w:rsidR="002C137A" w:rsidRPr="00952F18" w:rsidRDefault="002C137A" w:rsidP="002A4556">
                  <w:pPr>
                    <w:spacing w:before="20" w:after="20"/>
                    <w:jc w:val="both"/>
                    <w:rPr>
                      <w:sz w:val="20"/>
                      <w:szCs w:val="20"/>
                    </w:rPr>
                  </w:pPr>
                  <w:r w:rsidRPr="00952F18">
                    <w:rPr>
                      <w:bCs/>
                      <w:sz w:val="20"/>
                      <w:szCs w:val="20"/>
                    </w:rPr>
                    <w:t>SIA “Media House”</w:t>
                  </w:r>
                </w:p>
              </w:tc>
              <w:tc>
                <w:tcPr>
                  <w:tcW w:w="1560" w:type="dxa"/>
                </w:tcPr>
                <w:p w:rsidR="002C137A" w:rsidRPr="00952F18" w:rsidRDefault="002A4556" w:rsidP="002A4556">
                  <w:pPr>
                    <w:pStyle w:val="Sarakstarindkopa"/>
                    <w:spacing w:before="20" w:after="20"/>
                    <w:ind w:left="0"/>
                    <w:jc w:val="both"/>
                    <w:rPr>
                      <w:bCs/>
                      <w:sz w:val="20"/>
                      <w:szCs w:val="20"/>
                      <w:lang w:val="lv-LV"/>
                    </w:rPr>
                  </w:pPr>
                  <w:r w:rsidRPr="00952F18">
                    <w:rPr>
                      <w:bCs/>
                      <w:sz w:val="20"/>
                      <w:szCs w:val="20"/>
                      <w:lang w:val="lv-LV"/>
                    </w:rPr>
                    <w:t>Atbilstošs</w:t>
                  </w:r>
                </w:p>
              </w:tc>
            </w:tr>
            <w:tr w:rsidR="002C137A" w:rsidRPr="00952F18" w:rsidTr="002A4556">
              <w:tc>
                <w:tcPr>
                  <w:tcW w:w="2368" w:type="dxa"/>
                </w:tcPr>
                <w:p w:rsidR="002C137A" w:rsidRPr="00952F18" w:rsidRDefault="002C137A" w:rsidP="002A4556">
                  <w:pPr>
                    <w:spacing w:before="20" w:after="20"/>
                    <w:jc w:val="both"/>
                    <w:rPr>
                      <w:sz w:val="20"/>
                      <w:szCs w:val="20"/>
                    </w:rPr>
                  </w:pPr>
                  <w:r w:rsidRPr="00952F18">
                    <w:rPr>
                      <w:bCs/>
                      <w:sz w:val="20"/>
                      <w:szCs w:val="20"/>
                    </w:rPr>
                    <w:t>SIA “OMD LATVIA”</w:t>
                  </w:r>
                </w:p>
              </w:tc>
              <w:tc>
                <w:tcPr>
                  <w:tcW w:w="1560" w:type="dxa"/>
                </w:tcPr>
                <w:p w:rsidR="002C137A" w:rsidRPr="00952F18" w:rsidRDefault="002A4556" w:rsidP="002A4556">
                  <w:pPr>
                    <w:pStyle w:val="Sarakstarindkopa"/>
                    <w:spacing w:before="20" w:after="20"/>
                    <w:ind w:left="0"/>
                    <w:jc w:val="both"/>
                    <w:rPr>
                      <w:bCs/>
                      <w:sz w:val="20"/>
                      <w:szCs w:val="20"/>
                      <w:lang w:val="lv-LV"/>
                    </w:rPr>
                  </w:pPr>
                  <w:r w:rsidRPr="00952F18">
                    <w:rPr>
                      <w:bCs/>
                      <w:sz w:val="20"/>
                      <w:szCs w:val="20"/>
                      <w:lang w:val="lv-LV"/>
                    </w:rPr>
                    <w:t>Atbilstošs</w:t>
                  </w:r>
                </w:p>
              </w:tc>
            </w:tr>
            <w:tr w:rsidR="002C137A" w:rsidRPr="00952F18" w:rsidTr="002A4556">
              <w:trPr>
                <w:trHeight w:val="70"/>
              </w:trPr>
              <w:tc>
                <w:tcPr>
                  <w:tcW w:w="2368" w:type="dxa"/>
                </w:tcPr>
                <w:p w:rsidR="002C137A" w:rsidRPr="00952F18" w:rsidRDefault="002C137A" w:rsidP="002A4556">
                  <w:pPr>
                    <w:spacing w:before="20" w:after="20"/>
                    <w:jc w:val="both"/>
                    <w:rPr>
                      <w:sz w:val="20"/>
                      <w:szCs w:val="20"/>
                    </w:rPr>
                  </w:pPr>
                  <w:r w:rsidRPr="00952F18">
                    <w:rPr>
                      <w:bCs/>
                      <w:sz w:val="20"/>
                      <w:szCs w:val="20"/>
                    </w:rPr>
                    <w:t>SIA “Trendmark”</w:t>
                  </w:r>
                </w:p>
              </w:tc>
              <w:tc>
                <w:tcPr>
                  <w:tcW w:w="1560" w:type="dxa"/>
                </w:tcPr>
                <w:p w:rsidR="002C137A" w:rsidRPr="00952F18" w:rsidRDefault="002A4556" w:rsidP="002A4556">
                  <w:pPr>
                    <w:pStyle w:val="Sarakstarindkopa"/>
                    <w:spacing w:before="20" w:after="20"/>
                    <w:ind w:left="0"/>
                    <w:jc w:val="both"/>
                    <w:rPr>
                      <w:bCs/>
                      <w:sz w:val="20"/>
                      <w:szCs w:val="20"/>
                      <w:lang w:val="lv-LV"/>
                    </w:rPr>
                  </w:pPr>
                  <w:r w:rsidRPr="00952F18">
                    <w:rPr>
                      <w:bCs/>
                      <w:sz w:val="20"/>
                      <w:szCs w:val="20"/>
                      <w:lang w:val="lv-LV"/>
                    </w:rPr>
                    <w:t>Atbilstošs</w:t>
                  </w:r>
                </w:p>
              </w:tc>
            </w:tr>
          </w:tbl>
          <w:p w:rsidR="002C137A" w:rsidRPr="00952F18" w:rsidRDefault="002C137A" w:rsidP="002A4556">
            <w:pPr>
              <w:jc w:val="both"/>
              <w:rPr>
                <w:bCs/>
                <w:lang w:val="lv-LV"/>
              </w:rPr>
            </w:pPr>
          </w:p>
          <w:p w:rsidR="00844DCD" w:rsidRPr="00952F18" w:rsidRDefault="00844DCD" w:rsidP="002A4556">
            <w:pPr>
              <w:pStyle w:val="Sarakstarindkopa"/>
              <w:numPr>
                <w:ilvl w:val="0"/>
                <w:numId w:val="14"/>
              </w:numPr>
              <w:ind w:left="357" w:hanging="357"/>
              <w:jc w:val="both"/>
              <w:rPr>
                <w:bCs/>
                <w:lang w:val="lv-LV"/>
              </w:rPr>
            </w:pPr>
            <w:r w:rsidRPr="00952F18">
              <w:rPr>
                <w:bCs/>
                <w:color w:val="000000"/>
                <w:lang w:val="lv-LV"/>
              </w:rPr>
              <w:t>Piedāvājumu izvēle</w:t>
            </w:r>
            <w:r w:rsidR="002A4556" w:rsidRPr="00952F18">
              <w:rPr>
                <w:bCs/>
                <w:color w:val="000000"/>
                <w:lang w:val="lv-LV"/>
              </w:rPr>
              <w:t>s kopsavilkums</w:t>
            </w:r>
          </w:p>
          <w:p w:rsidR="00BF536B" w:rsidRPr="00952F18" w:rsidRDefault="00BF536B" w:rsidP="008A116B">
            <w:pPr>
              <w:suppressAutoHyphens/>
              <w:spacing w:before="120" w:after="120"/>
              <w:ind w:left="320"/>
              <w:jc w:val="both"/>
              <w:rPr>
                <w:rFonts w:eastAsia="Calibri"/>
                <w:bCs/>
                <w:color w:val="000000"/>
                <w:lang w:val="lv-LV"/>
              </w:rPr>
            </w:pPr>
            <w:r w:rsidRPr="00952F18">
              <w:rPr>
                <w:rFonts w:eastAsia="Calibri"/>
                <w:bCs/>
                <w:color w:val="000000"/>
                <w:lang w:val="lv-LV"/>
              </w:rPr>
              <w:t>Par saimnieciski izdevīgākajiem piedāvājumiem Komisija atzīst tos piedāvājumus, kuri pēc Komisijas locekļu individuālo vērtējumu apkopošanas ieguvuši visaugstākos novērtējumus</w:t>
            </w:r>
            <w:r w:rsidR="00747723" w:rsidRPr="00952F18">
              <w:rPr>
                <w:rFonts w:eastAsia="Calibri"/>
                <w:bCs/>
                <w:color w:val="000000"/>
                <w:lang w:val="lv-LV"/>
              </w:rPr>
              <w:t>:</w:t>
            </w:r>
          </w:p>
          <w:p w:rsidR="00BF536B" w:rsidRPr="00952F18" w:rsidRDefault="00475335" w:rsidP="00475335">
            <w:pPr>
              <w:suppressAutoHyphens/>
              <w:jc w:val="right"/>
              <w:rPr>
                <w:rFonts w:eastAsia="Calibri"/>
                <w:bCs/>
                <w:i/>
                <w:iCs/>
                <w:color w:val="000000"/>
                <w:sz w:val="20"/>
                <w:szCs w:val="20"/>
                <w:lang w:val="lv-LV"/>
              </w:rPr>
            </w:pPr>
            <w:r w:rsidRPr="00952F18">
              <w:rPr>
                <w:rFonts w:eastAsia="Calibri"/>
                <w:bCs/>
                <w:i/>
                <w:iCs/>
                <w:color w:val="000000"/>
                <w:sz w:val="20"/>
                <w:szCs w:val="20"/>
                <w:lang w:val="lv-LV"/>
              </w:rPr>
              <w:t xml:space="preserve">   </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4"/>
              <w:gridCol w:w="839"/>
              <w:gridCol w:w="1065"/>
              <w:gridCol w:w="1027"/>
              <w:gridCol w:w="816"/>
              <w:gridCol w:w="1050"/>
              <w:gridCol w:w="850"/>
            </w:tblGrid>
            <w:tr w:rsidR="00D22655" w:rsidRPr="00952F18" w:rsidTr="00D22655">
              <w:trPr>
                <w:cantSplit/>
                <w:trHeight w:val="422"/>
              </w:trPr>
              <w:tc>
                <w:tcPr>
                  <w:tcW w:w="4713" w:type="dxa"/>
                  <w:tcBorders>
                    <w:bottom w:val="single" w:sz="4" w:space="0" w:color="auto"/>
                  </w:tcBorders>
                  <w:shd w:val="clear" w:color="auto" w:fill="auto"/>
                </w:tcPr>
                <w:p w:rsidR="00D22655" w:rsidRPr="00952F18" w:rsidRDefault="00D22655" w:rsidP="00D22655">
                  <w:pPr>
                    <w:autoSpaceDE w:val="0"/>
                    <w:autoSpaceDN w:val="0"/>
                    <w:adjustRightInd w:val="0"/>
                    <w:spacing w:before="20" w:after="20"/>
                    <w:jc w:val="center"/>
                    <w:rPr>
                      <w:b/>
                      <w:color w:val="000000"/>
                      <w:sz w:val="20"/>
                      <w:szCs w:val="20"/>
                      <w:lang w:val="lv-LV" w:eastAsia="lv-LV"/>
                    </w:rPr>
                  </w:pPr>
                  <w:r w:rsidRPr="00952F18">
                    <w:rPr>
                      <w:b/>
                      <w:color w:val="000000"/>
                      <w:sz w:val="20"/>
                      <w:szCs w:val="20"/>
                      <w:lang w:val="lv-LV" w:eastAsia="lv-LV"/>
                    </w:rPr>
                    <w:t>Kritērijs, tā apraksts un vērtēšanas metodika</w:t>
                  </w:r>
                </w:p>
              </w:tc>
              <w:tc>
                <w:tcPr>
                  <w:tcW w:w="709" w:type="dxa"/>
                  <w:tcBorders>
                    <w:bottom w:val="single" w:sz="4" w:space="0" w:color="auto"/>
                  </w:tcBorders>
                  <w:shd w:val="clear" w:color="auto" w:fill="auto"/>
                </w:tcPr>
                <w:p w:rsidR="00D22655" w:rsidRPr="00952F18" w:rsidRDefault="00D22655" w:rsidP="00D22655">
                  <w:pPr>
                    <w:autoSpaceDE w:val="0"/>
                    <w:autoSpaceDN w:val="0"/>
                    <w:adjustRightInd w:val="0"/>
                    <w:jc w:val="center"/>
                    <w:rPr>
                      <w:b/>
                      <w:color w:val="000000"/>
                      <w:sz w:val="20"/>
                      <w:szCs w:val="20"/>
                      <w:lang w:val="lv-LV" w:eastAsia="lv-LV"/>
                    </w:rPr>
                  </w:pPr>
                  <w:r w:rsidRPr="00952F18">
                    <w:rPr>
                      <w:b/>
                      <w:color w:val="000000"/>
                      <w:sz w:val="20"/>
                      <w:szCs w:val="20"/>
                      <w:lang w:val="lv-LV" w:eastAsia="lv-LV"/>
                    </w:rPr>
                    <w:t>Maks. punktu skaits</w:t>
                  </w:r>
                </w:p>
              </w:tc>
              <w:tc>
                <w:tcPr>
                  <w:tcW w:w="1076" w:type="dxa"/>
                  <w:tcBorders>
                    <w:bottom w:val="single" w:sz="4" w:space="0" w:color="auto"/>
                  </w:tcBorders>
                </w:tcPr>
                <w:p w:rsidR="00D22655" w:rsidRPr="00952F18" w:rsidRDefault="00D22655" w:rsidP="00D22655">
                  <w:pPr>
                    <w:autoSpaceDE w:val="0"/>
                    <w:autoSpaceDN w:val="0"/>
                    <w:adjustRightInd w:val="0"/>
                    <w:jc w:val="center"/>
                    <w:rPr>
                      <w:b/>
                      <w:color w:val="000000"/>
                      <w:sz w:val="20"/>
                      <w:szCs w:val="20"/>
                      <w:lang w:eastAsia="lv-LV"/>
                    </w:rPr>
                  </w:pPr>
                  <w:r w:rsidRPr="00952F18">
                    <w:rPr>
                      <w:bCs/>
                      <w:sz w:val="20"/>
                      <w:szCs w:val="20"/>
                    </w:rPr>
                    <w:t>SIA “Idea Havas Media”</w:t>
                  </w:r>
                </w:p>
              </w:tc>
              <w:tc>
                <w:tcPr>
                  <w:tcW w:w="1027" w:type="dxa"/>
                  <w:tcBorders>
                    <w:bottom w:val="single" w:sz="4" w:space="0" w:color="auto"/>
                  </w:tcBorders>
                </w:tcPr>
                <w:p w:rsidR="00D22655" w:rsidRPr="00952F18" w:rsidRDefault="00D22655" w:rsidP="00D22655">
                  <w:pPr>
                    <w:autoSpaceDE w:val="0"/>
                    <w:autoSpaceDN w:val="0"/>
                    <w:adjustRightInd w:val="0"/>
                    <w:jc w:val="center"/>
                    <w:rPr>
                      <w:b/>
                      <w:color w:val="000000"/>
                      <w:sz w:val="20"/>
                      <w:szCs w:val="20"/>
                      <w:lang w:eastAsia="lv-LV"/>
                    </w:rPr>
                  </w:pPr>
                  <w:r w:rsidRPr="00952F18">
                    <w:rPr>
                      <w:bCs/>
                      <w:sz w:val="20"/>
                      <w:szCs w:val="20"/>
                    </w:rPr>
                    <w:t>SIA “Initiative Latvia”</w:t>
                  </w:r>
                </w:p>
              </w:tc>
              <w:tc>
                <w:tcPr>
                  <w:tcW w:w="816" w:type="dxa"/>
                  <w:tcBorders>
                    <w:bottom w:val="single" w:sz="4" w:space="0" w:color="auto"/>
                  </w:tcBorders>
                </w:tcPr>
                <w:p w:rsidR="00D22655" w:rsidRPr="00952F18" w:rsidRDefault="00D22655" w:rsidP="00D22655">
                  <w:pPr>
                    <w:autoSpaceDE w:val="0"/>
                    <w:autoSpaceDN w:val="0"/>
                    <w:adjustRightInd w:val="0"/>
                    <w:jc w:val="center"/>
                    <w:rPr>
                      <w:b/>
                      <w:color w:val="000000"/>
                      <w:sz w:val="20"/>
                      <w:szCs w:val="20"/>
                      <w:lang w:eastAsia="lv-LV"/>
                    </w:rPr>
                  </w:pPr>
                  <w:r w:rsidRPr="00952F18">
                    <w:rPr>
                      <w:bCs/>
                      <w:sz w:val="20"/>
                      <w:szCs w:val="20"/>
                    </w:rPr>
                    <w:t>SIA “Media House”</w:t>
                  </w:r>
                </w:p>
              </w:tc>
              <w:tc>
                <w:tcPr>
                  <w:tcW w:w="1050" w:type="dxa"/>
                  <w:tcBorders>
                    <w:bottom w:val="single" w:sz="4" w:space="0" w:color="auto"/>
                  </w:tcBorders>
                </w:tcPr>
                <w:p w:rsidR="00D22655" w:rsidRPr="00952F18" w:rsidRDefault="00D22655" w:rsidP="00D22655">
                  <w:pPr>
                    <w:autoSpaceDE w:val="0"/>
                    <w:autoSpaceDN w:val="0"/>
                    <w:adjustRightInd w:val="0"/>
                    <w:jc w:val="center"/>
                    <w:rPr>
                      <w:b/>
                      <w:color w:val="000000"/>
                      <w:sz w:val="20"/>
                      <w:szCs w:val="20"/>
                      <w:lang w:eastAsia="lv-LV"/>
                    </w:rPr>
                  </w:pPr>
                  <w:r w:rsidRPr="00952F18">
                    <w:rPr>
                      <w:bCs/>
                      <w:sz w:val="20"/>
                      <w:szCs w:val="20"/>
                    </w:rPr>
                    <w:t>SIA “OMD LATVIA”</w:t>
                  </w:r>
                </w:p>
              </w:tc>
              <w:tc>
                <w:tcPr>
                  <w:tcW w:w="850" w:type="dxa"/>
                  <w:tcBorders>
                    <w:bottom w:val="single" w:sz="4" w:space="0" w:color="auto"/>
                  </w:tcBorders>
                </w:tcPr>
                <w:p w:rsidR="00D22655" w:rsidRPr="00952F18" w:rsidRDefault="00D22655" w:rsidP="00D22655">
                  <w:pPr>
                    <w:autoSpaceDE w:val="0"/>
                    <w:autoSpaceDN w:val="0"/>
                    <w:adjustRightInd w:val="0"/>
                    <w:jc w:val="center"/>
                    <w:rPr>
                      <w:b/>
                      <w:color w:val="000000"/>
                      <w:sz w:val="20"/>
                      <w:szCs w:val="20"/>
                      <w:lang w:eastAsia="lv-LV"/>
                    </w:rPr>
                  </w:pPr>
                  <w:r w:rsidRPr="00952F18">
                    <w:rPr>
                      <w:bCs/>
                      <w:sz w:val="20"/>
                      <w:szCs w:val="20"/>
                    </w:rPr>
                    <w:t>SIA “Trend-mark”</w:t>
                  </w:r>
                </w:p>
              </w:tc>
            </w:tr>
            <w:tr w:rsidR="00D22655" w:rsidRPr="00952F18" w:rsidTr="0001260E">
              <w:trPr>
                <w:cantSplit/>
                <w:trHeight w:val="891"/>
              </w:trPr>
              <w:tc>
                <w:tcPr>
                  <w:tcW w:w="4713" w:type="dxa"/>
                  <w:tcBorders>
                    <w:bottom w:val="single" w:sz="4" w:space="0" w:color="auto"/>
                  </w:tcBorders>
                  <w:shd w:val="clear" w:color="auto" w:fill="auto"/>
                </w:tcPr>
                <w:p w:rsidR="00D22655" w:rsidRPr="00952F18" w:rsidRDefault="00D22655" w:rsidP="00D22655">
                  <w:pPr>
                    <w:autoSpaceDE w:val="0"/>
                    <w:autoSpaceDN w:val="0"/>
                    <w:adjustRightInd w:val="0"/>
                    <w:spacing w:before="20" w:after="20"/>
                    <w:jc w:val="both"/>
                    <w:rPr>
                      <w:b/>
                      <w:color w:val="000000"/>
                      <w:sz w:val="20"/>
                      <w:szCs w:val="20"/>
                      <w:u w:val="single"/>
                      <w:lang w:val="lv-LV" w:eastAsia="lv-LV"/>
                    </w:rPr>
                  </w:pPr>
                  <w:r w:rsidRPr="00952F18">
                    <w:rPr>
                      <w:b/>
                      <w:color w:val="000000"/>
                      <w:sz w:val="20"/>
                      <w:szCs w:val="20"/>
                      <w:u w:val="single"/>
                      <w:lang w:val="lv-LV" w:eastAsia="lv-LV"/>
                    </w:rPr>
                    <w:t>Pretendenta finanšu piedāvājums (F)</w:t>
                  </w:r>
                </w:p>
                <w:p w:rsidR="00D22655" w:rsidRPr="00952F18" w:rsidRDefault="00D22655" w:rsidP="00D22655">
                  <w:pPr>
                    <w:autoSpaceDE w:val="0"/>
                    <w:autoSpaceDN w:val="0"/>
                    <w:adjustRightInd w:val="0"/>
                    <w:spacing w:before="20" w:after="20"/>
                    <w:jc w:val="both"/>
                    <w:rPr>
                      <w:color w:val="000000"/>
                      <w:sz w:val="20"/>
                      <w:szCs w:val="20"/>
                      <w:lang w:val="lv-LV" w:eastAsia="lv-LV"/>
                    </w:rPr>
                  </w:pPr>
                  <w:bookmarkStart w:id="2" w:name="_Hlk46833442"/>
                  <w:r w:rsidRPr="00952F18">
                    <w:rPr>
                      <w:color w:val="000000"/>
                      <w:sz w:val="20"/>
                      <w:szCs w:val="20"/>
                      <w:lang w:val="lv-LV" w:eastAsia="lv-LV"/>
                    </w:rPr>
                    <w:t>Pretendents iesniedz Nolikuma 5. pielikumu “Finanšu piedāvājums” atbilstoši tā prasībām.</w:t>
                  </w:r>
                  <w:bookmarkEnd w:id="2"/>
                </w:p>
                <w:p w:rsidR="00D22655" w:rsidRPr="00952F18" w:rsidRDefault="00D22655" w:rsidP="00D22655">
                  <w:pPr>
                    <w:autoSpaceDE w:val="0"/>
                    <w:autoSpaceDN w:val="0"/>
                    <w:adjustRightInd w:val="0"/>
                    <w:spacing w:before="20" w:after="20"/>
                    <w:jc w:val="both"/>
                    <w:rPr>
                      <w:color w:val="000000"/>
                      <w:sz w:val="20"/>
                      <w:szCs w:val="20"/>
                      <w:lang w:val="lv-LV" w:eastAsia="lv-LV"/>
                    </w:rPr>
                  </w:pPr>
                  <w:r w:rsidRPr="00952F18">
                    <w:rPr>
                      <w:color w:val="000000"/>
                      <w:sz w:val="20"/>
                      <w:szCs w:val="20"/>
                      <w:lang w:val="lv-LV" w:eastAsia="lv-LV"/>
                    </w:rPr>
                    <w:t xml:space="preserve">Maksimālo punktu skaitu – </w:t>
                  </w:r>
                  <w:r w:rsidRPr="00952F18">
                    <w:rPr>
                      <w:b/>
                      <w:bCs/>
                      <w:color w:val="000000"/>
                      <w:sz w:val="20"/>
                      <w:szCs w:val="20"/>
                      <w:lang w:val="lv-LV" w:eastAsia="lv-LV"/>
                    </w:rPr>
                    <w:t>60 punktus</w:t>
                  </w:r>
                  <w:r w:rsidRPr="00952F18">
                    <w:rPr>
                      <w:color w:val="000000"/>
                      <w:sz w:val="20"/>
                      <w:szCs w:val="20"/>
                      <w:lang w:val="lv-LV" w:eastAsia="lv-LV"/>
                    </w:rPr>
                    <w:t xml:space="preserve"> Komisija piešķir piedāvājumam, kuram ir viszemākā kopējā piedāvātā cena bez PVN. Pārējiem piedāvājumiem punkti tiek piešķirti, ievērojot proporcionalitātes principu, punktu skaitu aprēķinot pēc šādas formulas: </w:t>
                  </w:r>
                  <w:r w:rsidRPr="00952F18">
                    <w:rPr>
                      <w:b/>
                      <w:color w:val="000000"/>
                      <w:sz w:val="20"/>
                      <w:szCs w:val="20"/>
                      <w:lang w:val="lv-LV" w:eastAsia="lv-LV"/>
                    </w:rPr>
                    <w:t>F = (F</w:t>
                  </w:r>
                  <w:r w:rsidRPr="00952F18">
                    <w:rPr>
                      <w:b/>
                      <w:color w:val="000000"/>
                      <w:sz w:val="20"/>
                      <w:szCs w:val="20"/>
                      <w:vertAlign w:val="subscript"/>
                      <w:lang w:val="lv-LV" w:eastAsia="lv-LV"/>
                    </w:rPr>
                    <w:t>min</w:t>
                  </w:r>
                  <w:r w:rsidRPr="00952F18">
                    <w:rPr>
                      <w:b/>
                      <w:color w:val="000000"/>
                      <w:sz w:val="20"/>
                      <w:szCs w:val="20"/>
                      <w:lang w:val="lv-LV" w:eastAsia="lv-LV"/>
                    </w:rPr>
                    <w:t>/F</w:t>
                  </w:r>
                  <w:r w:rsidRPr="00952F18">
                    <w:rPr>
                      <w:b/>
                      <w:color w:val="000000"/>
                      <w:sz w:val="20"/>
                      <w:szCs w:val="20"/>
                      <w:vertAlign w:val="subscript"/>
                      <w:lang w:val="lv-LV" w:eastAsia="lv-LV"/>
                    </w:rPr>
                    <w:t>ver</w:t>
                  </w:r>
                  <w:r w:rsidRPr="00952F18">
                    <w:rPr>
                      <w:b/>
                      <w:color w:val="000000"/>
                      <w:sz w:val="20"/>
                      <w:szCs w:val="20"/>
                      <w:lang w:val="lv-LV" w:eastAsia="lv-LV"/>
                    </w:rPr>
                    <w:t>) x 60, kur:</w:t>
                  </w:r>
                </w:p>
                <w:p w:rsidR="00D22655" w:rsidRPr="00952F18" w:rsidRDefault="00D22655" w:rsidP="00D22655">
                  <w:pPr>
                    <w:autoSpaceDE w:val="0"/>
                    <w:autoSpaceDN w:val="0"/>
                    <w:adjustRightInd w:val="0"/>
                    <w:spacing w:before="20" w:after="20"/>
                    <w:jc w:val="both"/>
                    <w:rPr>
                      <w:color w:val="000000"/>
                      <w:sz w:val="20"/>
                      <w:szCs w:val="20"/>
                      <w:lang w:val="lv-LV" w:eastAsia="lv-LV"/>
                    </w:rPr>
                  </w:pPr>
                  <w:r w:rsidRPr="00952F18">
                    <w:rPr>
                      <w:b/>
                      <w:color w:val="000000"/>
                      <w:sz w:val="20"/>
                      <w:szCs w:val="20"/>
                      <w:lang w:val="lv-LV" w:eastAsia="lv-LV"/>
                    </w:rPr>
                    <w:t>F</w:t>
                  </w:r>
                  <w:r w:rsidRPr="00952F18">
                    <w:rPr>
                      <w:color w:val="000000"/>
                      <w:sz w:val="20"/>
                      <w:szCs w:val="20"/>
                      <w:lang w:val="lv-LV" w:eastAsia="lv-LV"/>
                    </w:rPr>
                    <w:t xml:space="preserve"> – kritērijā Pretendenta iegūtais punktu skaits ar precizitāti līdz 2 (diviem) cipariem aiz komata; </w:t>
                  </w:r>
                  <w:r w:rsidRPr="00952F18">
                    <w:rPr>
                      <w:b/>
                      <w:color w:val="000000"/>
                      <w:sz w:val="20"/>
                      <w:szCs w:val="20"/>
                      <w:lang w:val="lv-LV" w:eastAsia="lv-LV"/>
                    </w:rPr>
                    <w:t>F</w:t>
                  </w:r>
                  <w:r w:rsidRPr="00952F18">
                    <w:rPr>
                      <w:b/>
                      <w:color w:val="000000"/>
                      <w:sz w:val="20"/>
                      <w:szCs w:val="20"/>
                      <w:vertAlign w:val="subscript"/>
                      <w:lang w:val="lv-LV" w:eastAsia="lv-LV"/>
                    </w:rPr>
                    <w:t>min</w:t>
                  </w:r>
                  <w:r w:rsidRPr="00952F18">
                    <w:rPr>
                      <w:color w:val="000000"/>
                      <w:sz w:val="20"/>
                      <w:szCs w:val="20"/>
                      <w:lang w:val="lv-LV" w:eastAsia="lv-LV"/>
                    </w:rPr>
                    <w:t xml:space="preserve"> – viszemākā piedāvātā cena kādam no atlases, kvalifikācijas un tehniskajām prasībām atbilstošiem Pretendentiem; </w:t>
                  </w:r>
                  <w:r w:rsidRPr="00952F18">
                    <w:rPr>
                      <w:b/>
                      <w:color w:val="000000"/>
                      <w:sz w:val="20"/>
                      <w:szCs w:val="20"/>
                      <w:lang w:val="lv-LV" w:eastAsia="lv-LV"/>
                    </w:rPr>
                    <w:t>F</w:t>
                  </w:r>
                  <w:r w:rsidRPr="00952F18">
                    <w:rPr>
                      <w:b/>
                      <w:color w:val="000000"/>
                      <w:sz w:val="20"/>
                      <w:szCs w:val="20"/>
                      <w:vertAlign w:val="subscript"/>
                      <w:lang w:val="lv-LV" w:eastAsia="lv-LV"/>
                    </w:rPr>
                    <w:t>ver</w:t>
                  </w:r>
                  <w:r w:rsidRPr="00952F18">
                    <w:rPr>
                      <w:color w:val="000000"/>
                      <w:sz w:val="20"/>
                      <w:szCs w:val="20"/>
                      <w:lang w:val="lv-LV" w:eastAsia="lv-LV"/>
                    </w:rPr>
                    <w:t xml:space="preserve"> – vērtējamā Pretendenta piedāvājuma cena; </w:t>
                  </w:r>
                  <w:r w:rsidRPr="00952F18">
                    <w:rPr>
                      <w:b/>
                      <w:bCs/>
                      <w:color w:val="000000"/>
                      <w:sz w:val="20"/>
                      <w:szCs w:val="20"/>
                      <w:lang w:val="lv-LV" w:eastAsia="lv-LV"/>
                    </w:rPr>
                    <w:t>60</w:t>
                  </w:r>
                  <w:r w:rsidRPr="00952F18">
                    <w:rPr>
                      <w:color w:val="000000"/>
                      <w:sz w:val="20"/>
                      <w:szCs w:val="20"/>
                      <w:lang w:val="lv-LV" w:eastAsia="lv-LV"/>
                    </w:rPr>
                    <w:t xml:space="preserve"> – maksimālais punktu skaits šajā kritērijā.</w:t>
                  </w:r>
                </w:p>
              </w:tc>
              <w:tc>
                <w:tcPr>
                  <w:tcW w:w="709" w:type="dxa"/>
                  <w:tcBorders>
                    <w:bottom w:val="single" w:sz="4" w:space="0" w:color="auto"/>
                  </w:tcBorders>
                  <w:shd w:val="clear" w:color="auto" w:fill="auto"/>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60</w:t>
                  </w:r>
                </w:p>
              </w:tc>
              <w:tc>
                <w:tcPr>
                  <w:tcW w:w="1076" w:type="dxa"/>
                  <w:tcBorders>
                    <w:bottom w:val="single" w:sz="4" w:space="0" w:color="auto"/>
                  </w:tcBorders>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60</w:t>
                  </w:r>
                </w:p>
              </w:tc>
              <w:tc>
                <w:tcPr>
                  <w:tcW w:w="1027" w:type="dxa"/>
                  <w:tcBorders>
                    <w:bottom w:val="single" w:sz="4" w:space="0" w:color="auto"/>
                  </w:tcBorders>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41.65</w:t>
                  </w:r>
                </w:p>
              </w:tc>
              <w:tc>
                <w:tcPr>
                  <w:tcW w:w="816" w:type="dxa"/>
                  <w:tcBorders>
                    <w:bottom w:val="single" w:sz="4" w:space="0" w:color="auto"/>
                  </w:tcBorders>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26.92</w:t>
                  </w:r>
                </w:p>
              </w:tc>
              <w:tc>
                <w:tcPr>
                  <w:tcW w:w="1050" w:type="dxa"/>
                  <w:tcBorders>
                    <w:bottom w:val="single" w:sz="4" w:space="0" w:color="auto"/>
                  </w:tcBorders>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34.05</w:t>
                  </w:r>
                </w:p>
              </w:tc>
              <w:tc>
                <w:tcPr>
                  <w:tcW w:w="850" w:type="dxa"/>
                  <w:tcBorders>
                    <w:bottom w:val="single" w:sz="4" w:space="0" w:color="auto"/>
                  </w:tcBorders>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34.24</w:t>
                  </w:r>
                </w:p>
              </w:tc>
            </w:tr>
            <w:tr w:rsidR="0001260E" w:rsidRPr="00952F18" w:rsidTr="0001260E">
              <w:trPr>
                <w:trHeight w:val="981"/>
              </w:trPr>
              <w:tc>
                <w:tcPr>
                  <w:tcW w:w="4713" w:type="dxa"/>
                  <w:tcBorders>
                    <w:top w:val="single" w:sz="4" w:space="0" w:color="auto"/>
                    <w:left w:val="single" w:sz="4" w:space="0" w:color="auto"/>
                    <w:bottom w:val="single" w:sz="4" w:space="0" w:color="auto"/>
                    <w:right w:val="single" w:sz="4" w:space="0" w:color="auto"/>
                  </w:tcBorders>
                  <w:shd w:val="clear" w:color="auto" w:fill="auto"/>
                </w:tcPr>
                <w:p w:rsidR="00D22655" w:rsidRPr="00952F18" w:rsidRDefault="00D22655" w:rsidP="00D22655">
                  <w:pPr>
                    <w:autoSpaceDE w:val="0"/>
                    <w:autoSpaceDN w:val="0"/>
                    <w:adjustRightInd w:val="0"/>
                    <w:spacing w:before="20" w:after="20"/>
                    <w:jc w:val="both"/>
                    <w:rPr>
                      <w:b/>
                      <w:bCs/>
                      <w:sz w:val="20"/>
                      <w:szCs w:val="20"/>
                      <w:u w:val="single"/>
                      <w:lang w:val="lv-LV" w:eastAsia="lv-LV"/>
                    </w:rPr>
                  </w:pPr>
                  <w:r w:rsidRPr="00952F18">
                    <w:rPr>
                      <w:b/>
                      <w:bCs/>
                      <w:sz w:val="20"/>
                      <w:szCs w:val="20"/>
                      <w:u w:val="single"/>
                      <w:lang w:val="lv-LV" w:eastAsia="lv-LV"/>
                    </w:rPr>
                    <w:t>Pretendenta tehniskais piedāvājums (Izvietošanas stratēģijas uzdevums (V))</w:t>
                  </w:r>
                </w:p>
                <w:p w:rsidR="00D22655" w:rsidRPr="00952F18" w:rsidRDefault="00D22655" w:rsidP="00D22655">
                  <w:pPr>
                    <w:autoSpaceDE w:val="0"/>
                    <w:autoSpaceDN w:val="0"/>
                    <w:adjustRightInd w:val="0"/>
                    <w:spacing w:before="20" w:after="20"/>
                    <w:jc w:val="both"/>
                    <w:rPr>
                      <w:sz w:val="20"/>
                      <w:szCs w:val="20"/>
                      <w:lang w:val="lv-LV" w:eastAsia="lv-LV"/>
                    </w:rPr>
                  </w:pPr>
                  <w:r w:rsidRPr="00952F18">
                    <w:rPr>
                      <w:sz w:val="20"/>
                      <w:szCs w:val="20"/>
                      <w:lang w:val="lv-LV" w:eastAsia="lv-LV"/>
                    </w:rPr>
                    <w:t xml:space="preserve">Atbilstoši Nolikuma 3. pielikuma “Tehniskā specifikācija” 3. punktam Pretendents iesniedz </w:t>
                  </w:r>
                  <w:r w:rsidRPr="00952F18">
                    <w:rPr>
                      <w:sz w:val="20"/>
                      <w:szCs w:val="20"/>
                      <w:lang w:val="lv-LV" w:eastAsia="lv-LV"/>
                    </w:rPr>
                    <w:lastRenderedPageBreak/>
                    <w:t>Nolikuma 4. pielikumu “Tehniskais piedāvājums” (izvietošanas stratēģijas uzdevums). Vērtējot uzdevumu, Komisija piešķir punktus, ievērojot sekojošus apakškritērijus:</w:t>
                  </w:r>
                </w:p>
                <w:p w:rsidR="00D22655" w:rsidRPr="00952F18" w:rsidRDefault="00D22655" w:rsidP="00D22655">
                  <w:pPr>
                    <w:numPr>
                      <w:ilvl w:val="0"/>
                      <w:numId w:val="13"/>
                    </w:numPr>
                    <w:autoSpaceDE w:val="0"/>
                    <w:autoSpaceDN w:val="0"/>
                    <w:adjustRightInd w:val="0"/>
                    <w:spacing w:before="20" w:after="20"/>
                    <w:ind w:left="318" w:hanging="318"/>
                    <w:jc w:val="both"/>
                    <w:rPr>
                      <w:b/>
                      <w:bCs/>
                      <w:sz w:val="20"/>
                      <w:szCs w:val="20"/>
                      <w:lang w:val="lv-LV" w:eastAsia="lv-LV"/>
                    </w:rPr>
                  </w:pPr>
                  <w:r w:rsidRPr="00952F18">
                    <w:rPr>
                      <w:b/>
                      <w:bCs/>
                      <w:sz w:val="20"/>
                      <w:szCs w:val="20"/>
                      <w:lang w:val="lv-LV" w:eastAsia="lv-LV"/>
                    </w:rPr>
                    <w:t>Atbilstības nosacījums (C)</w:t>
                  </w:r>
                </w:p>
                <w:p w:rsidR="00D22655" w:rsidRPr="00952F18" w:rsidRDefault="00D22655" w:rsidP="00D22655">
                  <w:pPr>
                    <w:autoSpaceDE w:val="0"/>
                    <w:autoSpaceDN w:val="0"/>
                    <w:adjustRightInd w:val="0"/>
                    <w:spacing w:before="20" w:after="20"/>
                    <w:ind w:left="318"/>
                    <w:jc w:val="both"/>
                    <w:rPr>
                      <w:sz w:val="20"/>
                      <w:szCs w:val="20"/>
                      <w:lang w:val="lv-LV" w:eastAsia="lv-LV"/>
                    </w:rPr>
                  </w:pPr>
                  <w:r w:rsidRPr="00952F18">
                    <w:rPr>
                      <w:sz w:val="20"/>
                      <w:szCs w:val="20"/>
                      <w:lang w:val="lv-LV" w:eastAsia="lv-LV"/>
                    </w:rPr>
                    <w:t xml:space="preserve">Komisija piešķir maksimālo punktu skaitu – </w:t>
                  </w:r>
                  <w:r w:rsidRPr="00952F18">
                    <w:rPr>
                      <w:b/>
                      <w:bCs/>
                      <w:sz w:val="20"/>
                      <w:szCs w:val="20"/>
                      <w:lang w:val="lv-LV" w:eastAsia="lv-LV"/>
                    </w:rPr>
                    <w:t>10 punktus</w:t>
                  </w:r>
                  <w:r w:rsidRPr="00952F18">
                    <w:rPr>
                      <w:sz w:val="20"/>
                      <w:szCs w:val="20"/>
                      <w:lang w:val="lv-LV" w:eastAsia="lv-LV"/>
                    </w:rPr>
                    <w:t>, Pretendentam, kurš ir iesniedzis izvietošanas stratēģijas uzdevumu tehniski kvalitatīvi, atbilstoši visām izvirzītajām prasībām. Komisija piešķir Pretendentam 0 punktus, ja iesniegtais praktiskais uzdevums neatbilst visām izvirzītajām prasībām, nav pilnīgi izpildīts.</w:t>
                  </w:r>
                </w:p>
                <w:p w:rsidR="00D22655" w:rsidRPr="00952F18" w:rsidRDefault="00D22655" w:rsidP="00D22655">
                  <w:pPr>
                    <w:numPr>
                      <w:ilvl w:val="0"/>
                      <w:numId w:val="13"/>
                    </w:numPr>
                    <w:spacing w:before="20" w:after="20"/>
                    <w:ind w:left="318" w:hanging="318"/>
                    <w:jc w:val="both"/>
                    <w:rPr>
                      <w:b/>
                      <w:bCs/>
                      <w:sz w:val="20"/>
                      <w:szCs w:val="20"/>
                      <w:lang w:val="lv-LV" w:eastAsia="lv-LV"/>
                    </w:rPr>
                  </w:pPr>
                  <w:r w:rsidRPr="00952F18">
                    <w:rPr>
                      <w:b/>
                      <w:bCs/>
                      <w:sz w:val="20"/>
                      <w:szCs w:val="20"/>
                      <w:lang w:val="lv-LV" w:eastAsia="lv-LV"/>
                    </w:rPr>
                    <w:t>Mediju izvēle un kvalitatīvie parametri (M)</w:t>
                  </w:r>
                </w:p>
                <w:p w:rsidR="00D22655" w:rsidRPr="00952F18" w:rsidRDefault="00D22655" w:rsidP="00D22655">
                  <w:pPr>
                    <w:spacing w:before="20" w:after="20"/>
                    <w:ind w:left="318"/>
                    <w:jc w:val="both"/>
                    <w:rPr>
                      <w:sz w:val="20"/>
                      <w:szCs w:val="20"/>
                      <w:lang w:val="lv-LV" w:eastAsia="lv-LV"/>
                    </w:rPr>
                  </w:pPr>
                  <w:r w:rsidRPr="00952F18">
                    <w:rPr>
                      <w:sz w:val="20"/>
                      <w:szCs w:val="20"/>
                      <w:lang w:val="lv-LV" w:eastAsia="lv-LV"/>
                    </w:rPr>
                    <w:t xml:space="preserve">Komisija piešķir maksimālo punktu skaitu – </w:t>
                  </w:r>
                  <w:r w:rsidRPr="00952F18">
                    <w:rPr>
                      <w:b/>
                      <w:bCs/>
                      <w:sz w:val="20"/>
                      <w:szCs w:val="20"/>
                      <w:lang w:val="lv-LV" w:eastAsia="lv-LV"/>
                    </w:rPr>
                    <w:t>10 punktus</w:t>
                  </w:r>
                  <w:r w:rsidRPr="00952F18">
                    <w:rPr>
                      <w:sz w:val="20"/>
                      <w:szCs w:val="20"/>
                      <w:lang w:val="lv-LV" w:eastAsia="lv-LV"/>
                    </w:rPr>
                    <w:t>, Pretendentam, kura mediju izvēle un kvalitatīvie kritēriji (izvietojuma pozīcija, izvietojamās informācijas valoda u.c.) ir pamatoti, balstoties uz datu analīzi tam ir potenciāls sasniegt Pasūtītāja izvirzītos kampaņas mērķus. Komisija piešķir 5 punktus, ja pamatojums nav pilnīgi skaidri izklāstīts, tas daļēji balstīts uz analīzi, datiem, kā arī, īstenojot piedāvājumu, potenciāls sasniegt Pasūtītāja mērķus ir vidējs. Pretendentam piešķir 0 punktus, ja pakalpojuma parametri ir daļēji  aprakstīti un/vai uzdevums ir izpildīts neapmierinoši vai nav izpildīts. Pamatojums nav balstīts uz datu analīzi, kā arī, īstenojot piedāvājumu, potenciāls sasniegt Pasūtītāja mērķus ir zems.</w:t>
                  </w:r>
                </w:p>
                <w:p w:rsidR="00D22655" w:rsidRPr="00952F18" w:rsidRDefault="00D22655" w:rsidP="00D22655">
                  <w:pPr>
                    <w:numPr>
                      <w:ilvl w:val="0"/>
                      <w:numId w:val="13"/>
                    </w:numPr>
                    <w:spacing w:before="20" w:after="20"/>
                    <w:ind w:left="311" w:hanging="283"/>
                    <w:jc w:val="both"/>
                    <w:rPr>
                      <w:b/>
                      <w:bCs/>
                      <w:sz w:val="20"/>
                      <w:szCs w:val="20"/>
                      <w:lang w:val="lv-LV" w:eastAsia="lv-LV"/>
                    </w:rPr>
                  </w:pPr>
                  <w:r w:rsidRPr="00952F18">
                    <w:rPr>
                      <w:b/>
                      <w:bCs/>
                      <w:sz w:val="20"/>
                      <w:szCs w:val="20"/>
                      <w:lang w:val="lv-LV" w:eastAsia="lv-LV"/>
                    </w:rPr>
                    <w:t>Kvantitatīvais parametrs (K)</w:t>
                  </w:r>
                </w:p>
                <w:p w:rsidR="00D22655" w:rsidRPr="00952F18" w:rsidRDefault="00D22655" w:rsidP="00D22655">
                  <w:pPr>
                    <w:spacing w:before="20" w:after="20"/>
                    <w:ind w:left="318"/>
                    <w:jc w:val="both"/>
                    <w:rPr>
                      <w:sz w:val="20"/>
                      <w:szCs w:val="20"/>
                      <w:u w:val="single"/>
                      <w:lang w:val="lv-LV" w:eastAsia="lv-LV"/>
                    </w:rPr>
                  </w:pPr>
                  <w:r w:rsidRPr="00952F18">
                    <w:rPr>
                      <w:sz w:val="20"/>
                      <w:szCs w:val="20"/>
                      <w:lang w:val="lv-LV" w:eastAsia="lv-LV"/>
                    </w:rPr>
                    <w:t xml:space="preserve">Komisija piešķir maksimālo punktu skaitu – </w:t>
                  </w:r>
                  <w:r w:rsidRPr="00952F18">
                    <w:rPr>
                      <w:b/>
                      <w:bCs/>
                      <w:sz w:val="20"/>
                      <w:szCs w:val="20"/>
                      <w:lang w:val="lv-LV" w:eastAsia="lv-LV"/>
                    </w:rPr>
                    <w:t>10 punktus</w:t>
                  </w:r>
                  <w:r w:rsidRPr="00952F18">
                    <w:rPr>
                      <w:sz w:val="20"/>
                      <w:szCs w:val="20"/>
                      <w:lang w:val="lv-LV" w:eastAsia="lv-LV"/>
                    </w:rPr>
                    <w:t xml:space="preserve">, Pretendentam, kurš informatīvās kampaņas izvietošanas ietvarā sasniedz lielāko auditorijas aptveri. Pārējiem piedāvājumiem punkti tiek piešķirti, ievērojot proporcionalitātes principu, punktu skaitu aprēķinot pēc šādas formulas: </w:t>
                  </w:r>
                  <w:r w:rsidRPr="00952F18">
                    <w:rPr>
                      <w:b/>
                      <w:bCs/>
                      <w:sz w:val="20"/>
                      <w:szCs w:val="20"/>
                      <w:lang w:val="lv-LV" w:eastAsia="lv-LV"/>
                    </w:rPr>
                    <w:t>K = K</w:t>
                  </w:r>
                  <w:r w:rsidRPr="00952F18">
                    <w:rPr>
                      <w:b/>
                      <w:bCs/>
                      <w:sz w:val="20"/>
                      <w:szCs w:val="20"/>
                      <w:vertAlign w:val="subscript"/>
                      <w:lang w:val="lv-LV" w:eastAsia="lv-LV"/>
                    </w:rPr>
                    <w:t>max</w:t>
                  </w:r>
                  <w:r w:rsidRPr="00952F18">
                    <w:rPr>
                      <w:b/>
                      <w:bCs/>
                      <w:sz w:val="20"/>
                      <w:szCs w:val="20"/>
                      <w:lang w:val="lv-LV" w:eastAsia="lv-LV"/>
                    </w:rPr>
                    <w:t>/K</w:t>
                  </w:r>
                  <w:r w:rsidRPr="00952F18">
                    <w:rPr>
                      <w:b/>
                      <w:bCs/>
                      <w:sz w:val="20"/>
                      <w:szCs w:val="20"/>
                      <w:vertAlign w:val="subscript"/>
                      <w:lang w:val="lv-LV" w:eastAsia="lv-LV"/>
                    </w:rPr>
                    <w:t>ver</w:t>
                  </w:r>
                  <w:r w:rsidRPr="00952F18">
                    <w:rPr>
                      <w:b/>
                      <w:bCs/>
                      <w:sz w:val="20"/>
                      <w:szCs w:val="20"/>
                      <w:lang w:val="lv-LV" w:eastAsia="lv-LV"/>
                    </w:rPr>
                    <w:t xml:space="preserve"> x 10, kur:</w:t>
                  </w:r>
                </w:p>
                <w:p w:rsidR="00D22655" w:rsidRPr="00952F18" w:rsidRDefault="00D22655" w:rsidP="00D22655">
                  <w:pPr>
                    <w:spacing w:before="20" w:after="20"/>
                    <w:ind w:left="318"/>
                    <w:jc w:val="both"/>
                    <w:rPr>
                      <w:sz w:val="20"/>
                      <w:szCs w:val="20"/>
                      <w:lang w:val="lv-LV" w:eastAsia="lv-LV"/>
                    </w:rPr>
                  </w:pPr>
                  <w:r w:rsidRPr="00952F18">
                    <w:rPr>
                      <w:b/>
                      <w:bCs/>
                      <w:sz w:val="20"/>
                      <w:szCs w:val="20"/>
                      <w:lang w:val="lv-LV" w:eastAsia="lv-LV"/>
                    </w:rPr>
                    <w:t>K</w:t>
                  </w:r>
                  <w:r w:rsidRPr="00952F18">
                    <w:rPr>
                      <w:sz w:val="20"/>
                      <w:szCs w:val="20"/>
                      <w:lang w:val="lv-LV" w:eastAsia="lv-LV"/>
                    </w:rPr>
                    <w:t xml:space="preserve"> – apakškritērijā Pretendenta iegūtais punktu skaits ar precizitāti līdz 2 (diviem) cipariem aiz komata; </w:t>
                  </w:r>
                  <w:r w:rsidRPr="00952F18">
                    <w:rPr>
                      <w:b/>
                      <w:bCs/>
                      <w:sz w:val="20"/>
                      <w:szCs w:val="20"/>
                      <w:lang w:val="lv-LV" w:eastAsia="lv-LV"/>
                    </w:rPr>
                    <w:t>K</w:t>
                  </w:r>
                  <w:r w:rsidRPr="00952F18">
                    <w:rPr>
                      <w:b/>
                      <w:bCs/>
                      <w:sz w:val="20"/>
                      <w:szCs w:val="20"/>
                      <w:vertAlign w:val="subscript"/>
                      <w:lang w:val="lv-LV" w:eastAsia="lv-LV"/>
                    </w:rPr>
                    <w:t>max</w:t>
                  </w:r>
                  <w:r w:rsidRPr="00952F18">
                    <w:rPr>
                      <w:sz w:val="20"/>
                      <w:szCs w:val="20"/>
                      <w:lang w:val="lv-LV" w:eastAsia="lv-LV"/>
                    </w:rPr>
                    <w:t xml:space="preserve"> – lielākais sasniegtais auditorijas skaits; </w:t>
                  </w:r>
                  <w:r w:rsidRPr="00952F18">
                    <w:rPr>
                      <w:b/>
                      <w:bCs/>
                      <w:sz w:val="20"/>
                      <w:szCs w:val="20"/>
                      <w:lang w:val="lv-LV" w:eastAsia="lv-LV"/>
                    </w:rPr>
                    <w:t>K</w:t>
                  </w:r>
                  <w:r w:rsidRPr="00952F18">
                    <w:rPr>
                      <w:b/>
                      <w:bCs/>
                      <w:sz w:val="20"/>
                      <w:szCs w:val="20"/>
                      <w:vertAlign w:val="subscript"/>
                      <w:lang w:val="lv-LV" w:eastAsia="lv-LV"/>
                    </w:rPr>
                    <w:t>ver</w:t>
                  </w:r>
                  <w:r w:rsidRPr="00952F18">
                    <w:rPr>
                      <w:sz w:val="20"/>
                      <w:szCs w:val="20"/>
                      <w:lang w:val="lv-LV" w:eastAsia="lv-LV"/>
                    </w:rPr>
                    <w:t xml:space="preserve"> – vērtējamā Pretendenta norādītais auditorijas skaits; </w:t>
                  </w:r>
                  <w:r w:rsidRPr="00952F18">
                    <w:rPr>
                      <w:b/>
                      <w:bCs/>
                      <w:sz w:val="20"/>
                      <w:szCs w:val="20"/>
                      <w:lang w:val="lv-LV" w:eastAsia="lv-LV"/>
                    </w:rPr>
                    <w:t>10</w:t>
                  </w:r>
                  <w:r w:rsidRPr="00952F18">
                    <w:rPr>
                      <w:sz w:val="20"/>
                      <w:szCs w:val="20"/>
                      <w:lang w:val="lv-LV" w:eastAsia="lv-LV"/>
                    </w:rPr>
                    <w:t xml:space="preserve"> – maksimālais punktu skaits šajā apakškritērijā.</w:t>
                  </w:r>
                </w:p>
                <w:p w:rsidR="00D22655" w:rsidRPr="00952F18" w:rsidRDefault="00D22655" w:rsidP="00D22655">
                  <w:pPr>
                    <w:numPr>
                      <w:ilvl w:val="0"/>
                      <w:numId w:val="13"/>
                    </w:numPr>
                    <w:spacing w:before="20" w:after="20"/>
                    <w:ind w:left="318" w:hanging="283"/>
                    <w:jc w:val="both"/>
                    <w:rPr>
                      <w:b/>
                      <w:bCs/>
                      <w:sz w:val="20"/>
                      <w:szCs w:val="20"/>
                      <w:lang w:val="lv-LV" w:eastAsia="lv-LV"/>
                    </w:rPr>
                  </w:pPr>
                  <w:r w:rsidRPr="00952F18">
                    <w:rPr>
                      <w:b/>
                      <w:bCs/>
                      <w:sz w:val="20"/>
                      <w:szCs w:val="20"/>
                      <w:lang w:val="lv-LV" w:eastAsia="lv-LV"/>
                    </w:rPr>
                    <w:t>Efektīvs izmaksu izlietojums (I)</w:t>
                  </w:r>
                </w:p>
                <w:p w:rsidR="00D22655" w:rsidRPr="00952F18" w:rsidRDefault="00D22655" w:rsidP="00F6363F">
                  <w:pPr>
                    <w:autoSpaceDE w:val="0"/>
                    <w:autoSpaceDN w:val="0"/>
                    <w:adjustRightInd w:val="0"/>
                    <w:spacing w:before="20" w:after="20"/>
                    <w:ind w:left="318"/>
                    <w:jc w:val="both"/>
                    <w:rPr>
                      <w:bCs/>
                      <w:sz w:val="20"/>
                      <w:szCs w:val="20"/>
                      <w:lang w:val="lv-LV" w:eastAsia="lv-LV"/>
                    </w:rPr>
                  </w:pPr>
                  <w:r w:rsidRPr="00952F18">
                    <w:rPr>
                      <w:bCs/>
                      <w:sz w:val="20"/>
                      <w:szCs w:val="20"/>
                      <w:lang w:val="lv-LV" w:eastAsia="lv-LV"/>
                    </w:rPr>
                    <w:t xml:space="preserve">Maksimālo punktu skaitu – </w:t>
                  </w:r>
                  <w:r w:rsidRPr="00952F18">
                    <w:rPr>
                      <w:b/>
                      <w:sz w:val="20"/>
                      <w:szCs w:val="20"/>
                      <w:lang w:val="lv-LV" w:eastAsia="lv-LV"/>
                    </w:rPr>
                    <w:t>10 punktus</w:t>
                  </w:r>
                  <w:r w:rsidRPr="00952F18">
                    <w:rPr>
                      <w:bCs/>
                      <w:sz w:val="20"/>
                      <w:szCs w:val="20"/>
                      <w:lang w:val="lv-LV" w:eastAsia="lv-LV"/>
                    </w:rPr>
                    <w:t xml:space="preserve"> Komisija piešķir Pretendentam, kurš par pakalpojuma izpildi piedāvā zemāko cenu bez PVN, atbilstoši uzdevuma budžeta apjomam. Pārējiem piedāvājumiem punkti tiek piešķirti, ievērojot proporcionalitātes principu, punktu skaitu aprēķinot pēc šādas formulas: </w:t>
                  </w:r>
                  <w:r w:rsidRPr="00952F18">
                    <w:rPr>
                      <w:b/>
                      <w:sz w:val="20"/>
                      <w:szCs w:val="20"/>
                      <w:lang w:val="lv-LV" w:eastAsia="lv-LV"/>
                    </w:rPr>
                    <w:t>I = I</w:t>
                  </w:r>
                  <w:r w:rsidRPr="00952F18">
                    <w:rPr>
                      <w:b/>
                      <w:sz w:val="20"/>
                      <w:szCs w:val="20"/>
                      <w:vertAlign w:val="subscript"/>
                      <w:lang w:val="lv-LV" w:eastAsia="lv-LV"/>
                    </w:rPr>
                    <w:t>min</w:t>
                  </w:r>
                  <w:r w:rsidRPr="00952F18">
                    <w:rPr>
                      <w:b/>
                      <w:sz w:val="20"/>
                      <w:szCs w:val="20"/>
                      <w:lang w:val="lv-LV" w:eastAsia="lv-LV"/>
                    </w:rPr>
                    <w:t>/I</w:t>
                  </w:r>
                  <w:r w:rsidRPr="00952F18">
                    <w:rPr>
                      <w:b/>
                      <w:sz w:val="20"/>
                      <w:szCs w:val="20"/>
                      <w:vertAlign w:val="subscript"/>
                      <w:lang w:val="lv-LV" w:eastAsia="lv-LV"/>
                    </w:rPr>
                    <w:t xml:space="preserve">ver </w:t>
                  </w:r>
                  <w:r w:rsidRPr="00952F18">
                    <w:rPr>
                      <w:b/>
                      <w:sz w:val="20"/>
                      <w:szCs w:val="20"/>
                      <w:lang w:val="lv-LV" w:eastAsia="lv-LV"/>
                    </w:rPr>
                    <w:t>x 10, kur:</w:t>
                  </w:r>
                  <w:r w:rsidR="00F6363F" w:rsidRPr="00952F18">
                    <w:rPr>
                      <w:b/>
                      <w:sz w:val="20"/>
                      <w:szCs w:val="20"/>
                      <w:lang w:val="lv-LV" w:eastAsia="lv-LV"/>
                    </w:rPr>
                    <w:t xml:space="preserve"> </w:t>
                  </w:r>
                  <w:r w:rsidRPr="00952F18">
                    <w:rPr>
                      <w:b/>
                      <w:sz w:val="20"/>
                      <w:szCs w:val="20"/>
                      <w:lang w:val="lv-LV" w:eastAsia="lv-LV"/>
                    </w:rPr>
                    <w:t>I</w:t>
                  </w:r>
                  <w:r w:rsidRPr="00952F18">
                    <w:rPr>
                      <w:bCs/>
                      <w:sz w:val="20"/>
                      <w:szCs w:val="20"/>
                      <w:lang w:val="lv-LV" w:eastAsia="lv-LV"/>
                    </w:rPr>
                    <w:t xml:space="preserve"> – apakškritērijā Pretendenta iegūtais punktu skaits ar precizitāti līdz 2 (diviem) cipariem aiz komata; </w:t>
                  </w:r>
                  <w:r w:rsidRPr="00952F18">
                    <w:rPr>
                      <w:b/>
                      <w:sz w:val="20"/>
                      <w:szCs w:val="20"/>
                      <w:lang w:val="lv-LV" w:eastAsia="lv-LV"/>
                    </w:rPr>
                    <w:t>I</w:t>
                  </w:r>
                  <w:r w:rsidRPr="00952F18">
                    <w:rPr>
                      <w:b/>
                      <w:sz w:val="20"/>
                      <w:szCs w:val="20"/>
                      <w:vertAlign w:val="subscript"/>
                      <w:lang w:val="lv-LV" w:eastAsia="lv-LV"/>
                    </w:rPr>
                    <w:t>min</w:t>
                  </w:r>
                  <w:r w:rsidRPr="00952F18">
                    <w:rPr>
                      <w:bCs/>
                      <w:sz w:val="20"/>
                      <w:szCs w:val="20"/>
                      <w:lang w:val="lv-LV" w:eastAsia="lv-LV"/>
                    </w:rPr>
                    <w:t xml:space="preserve"> – zemākā piedāvātā cena par pakalpojumu; </w:t>
                  </w:r>
                  <w:r w:rsidRPr="00952F18">
                    <w:rPr>
                      <w:b/>
                      <w:sz w:val="20"/>
                      <w:szCs w:val="20"/>
                      <w:lang w:val="lv-LV" w:eastAsia="lv-LV"/>
                    </w:rPr>
                    <w:t>I</w:t>
                  </w:r>
                  <w:r w:rsidRPr="00952F18">
                    <w:rPr>
                      <w:b/>
                      <w:sz w:val="20"/>
                      <w:szCs w:val="20"/>
                      <w:vertAlign w:val="subscript"/>
                      <w:lang w:val="lv-LV" w:eastAsia="lv-LV"/>
                    </w:rPr>
                    <w:t>ver</w:t>
                  </w:r>
                  <w:r w:rsidRPr="00952F18">
                    <w:rPr>
                      <w:bCs/>
                      <w:sz w:val="20"/>
                      <w:szCs w:val="20"/>
                      <w:lang w:val="lv-LV" w:eastAsia="lv-LV"/>
                    </w:rPr>
                    <w:t xml:space="preserve"> – vērtējamā Pretendenta piedāvājuma izmaksas;</w:t>
                  </w:r>
                  <w:r w:rsidR="00E0101C" w:rsidRPr="00952F18">
                    <w:rPr>
                      <w:bCs/>
                      <w:sz w:val="20"/>
                      <w:szCs w:val="20"/>
                      <w:lang w:val="lv-LV" w:eastAsia="lv-LV"/>
                    </w:rPr>
                    <w:t xml:space="preserve"> </w:t>
                  </w:r>
                  <w:r w:rsidRPr="00952F18">
                    <w:rPr>
                      <w:b/>
                      <w:bCs/>
                      <w:sz w:val="20"/>
                      <w:szCs w:val="20"/>
                      <w:lang w:val="lv-LV" w:eastAsia="lv-LV"/>
                    </w:rPr>
                    <w:t>10</w:t>
                  </w:r>
                  <w:r w:rsidRPr="00952F18">
                    <w:rPr>
                      <w:sz w:val="20"/>
                      <w:szCs w:val="20"/>
                      <w:lang w:val="lv-LV" w:eastAsia="lv-LV"/>
                    </w:rPr>
                    <w:t xml:space="preserve"> – maksimālais punktu skaits šajā apakškritērijā</w:t>
                  </w:r>
                  <w:r w:rsidRPr="00952F18">
                    <w:rPr>
                      <w:bCs/>
                      <w:sz w:val="20"/>
                      <w:szCs w:val="20"/>
                      <w:lang w:val="lv-LV" w:eastAsia="lv-LV"/>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40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rPr>
                      <w:sz w:val="20"/>
                      <w:szCs w:val="20"/>
                      <w:lang w:eastAsia="lv-LV"/>
                    </w:rPr>
                  </w:pPr>
                </w:p>
                <w:p w:rsidR="00F6363F" w:rsidRPr="00952F18" w:rsidRDefault="00F6363F" w:rsidP="00F6363F">
                  <w:pP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F6363F" w:rsidRPr="00952F18" w:rsidRDefault="00F6363F"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tc>
              <w:tc>
                <w:tcPr>
                  <w:tcW w:w="1076" w:type="dxa"/>
                  <w:tcBorders>
                    <w:top w:val="single" w:sz="4" w:space="0" w:color="auto"/>
                    <w:left w:val="single" w:sz="4" w:space="0" w:color="auto"/>
                    <w:bottom w:val="single" w:sz="4" w:space="0" w:color="auto"/>
                    <w:right w:val="single" w:sz="4" w:space="0" w:color="auto"/>
                  </w:tcBorders>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26.55</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F6363F" w:rsidRPr="00952F18" w:rsidRDefault="00F6363F"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3.48</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3.07</w:t>
                  </w:r>
                </w:p>
              </w:tc>
              <w:tc>
                <w:tcPr>
                  <w:tcW w:w="1027" w:type="dxa"/>
                  <w:tcBorders>
                    <w:top w:val="single" w:sz="4" w:space="0" w:color="auto"/>
                    <w:left w:val="single" w:sz="4" w:space="0" w:color="auto"/>
                    <w:bottom w:val="single" w:sz="4" w:space="0" w:color="auto"/>
                    <w:right w:val="single" w:sz="4" w:space="0" w:color="auto"/>
                  </w:tcBorders>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25.35</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2.68</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3.67</w:t>
                  </w:r>
                </w:p>
              </w:tc>
              <w:tc>
                <w:tcPr>
                  <w:tcW w:w="816" w:type="dxa"/>
                  <w:tcBorders>
                    <w:top w:val="single" w:sz="4" w:space="0" w:color="auto"/>
                    <w:left w:val="single" w:sz="4" w:space="0" w:color="auto"/>
                    <w:bottom w:val="single" w:sz="4" w:space="0" w:color="auto"/>
                    <w:right w:val="single" w:sz="4" w:space="0" w:color="auto"/>
                  </w:tcBorders>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29.49</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5.68</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3.81</w:t>
                  </w:r>
                </w:p>
              </w:tc>
              <w:tc>
                <w:tcPr>
                  <w:tcW w:w="1050" w:type="dxa"/>
                  <w:tcBorders>
                    <w:top w:val="single" w:sz="4" w:space="0" w:color="auto"/>
                    <w:left w:val="single" w:sz="4" w:space="0" w:color="auto"/>
                    <w:bottom w:val="single" w:sz="4" w:space="0" w:color="auto"/>
                    <w:right w:val="single" w:sz="4" w:space="0" w:color="auto"/>
                  </w:tcBorders>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26.3</w:t>
                  </w:r>
                  <w:r w:rsidR="00DE2B72">
                    <w:rPr>
                      <w:b/>
                      <w:bCs/>
                      <w:sz w:val="20"/>
                      <w:szCs w:val="20"/>
                      <w:lang w:eastAsia="lv-LV"/>
                    </w:rPr>
                    <w:t>6</w:t>
                  </w:r>
                  <w:bookmarkStart w:id="3" w:name="_GoBack"/>
                  <w:bookmarkEnd w:id="3"/>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b/>
                      <w:bCs/>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3.63</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2.7</w:t>
                  </w:r>
                  <w:r w:rsidR="00DE2B72">
                    <w:rPr>
                      <w:sz w:val="20"/>
                      <w:szCs w:val="20"/>
                      <w:lang w:eastAsia="lv-LV"/>
                    </w:rPr>
                    <w:t>3</w:t>
                  </w:r>
                </w:p>
              </w:tc>
              <w:tc>
                <w:tcPr>
                  <w:tcW w:w="850" w:type="dxa"/>
                  <w:tcBorders>
                    <w:top w:val="single" w:sz="4" w:space="0" w:color="auto"/>
                    <w:left w:val="single" w:sz="4" w:space="0" w:color="auto"/>
                    <w:bottom w:val="single" w:sz="4" w:space="0" w:color="auto"/>
                    <w:right w:val="single" w:sz="4" w:space="0" w:color="auto"/>
                  </w:tcBorders>
                </w:tcPr>
                <w:p w:rsidR="00D22655" w:rsidRPr="00952F18" w:rsidRDefault="00D22655" w:rsidP="00F6363F">
                  <w:pPr>
                    <w:autoSpaceDE w:val="0"/>
                    <w:autoSpaceDN w:val="0"/>
                    <w:adjustRightInd w:val="0"/>
                    <w:spacing w:before="20" w:after="20"/>
                    <w:jc w:val="center"/>
                    <w:rPr>
                      <w:b/>
                      <w:bCs/>
                      <w:sz w:val="20"/>
                      <w:szCs w:val="20"/>
                      <w:lang w:eastAsia="lv-LV"/>
                    </w:rPr>
                  </w:pPr>
                  <w:r w:rsidRPr="00952F18">
                    <w:rPr>
                      <w:b/>
                      <w:bCs/>
                      <w:sz w:val="20"/>
                      <w:szCs w:val="20"/>
                      <w:lang w:eastAsia="lv-LV"/>
                    </w:rPr>
                    <w:lastRenderedPageBreak/>
                    <w:t>35</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b/>
                      <w:bCs/>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5</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F6363F" w:rsidRPr="00952F18" w:rsidRDefault="00F6363F"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p>
                <w:p w:rsidR="00D22655" w:rsidRPr="00952F18" w:rsidRDefault="00D22655" w:rsidP="00F6363F">
                  <w:pPr>
                    <w:jc w:val="center"/>
                    <w:rPr>
                      <w:sz w:val="20"/>
                      <w:szCs w:val="20"/>
                      <w:lang w:eastAsia="lv-LV"/>
                    </w:rPr>
                  </w:pPr>
                  <w:r w:rsidRPr="00952F18">
                    <w:rPr>
                      <w:sz w:val="20"/>
                      <w:szCs w:val="20"/>
                      <w:lang w:eastAsia="lv-LV"/>
                    </w:rPr>
                    <w:t>10</w:t>
                  </w:r>
                </w:p>
              </w:tc>
            </w:tr>
            <w:tr w:rsidR="00D22655" w:rsidRPr="00952F18" w:rsidTr="0001260E">
              <w:tc>
                <w:tcPr>
                  <w:tcW w:w="4713"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both"/>
                    <w:rPr>
                      <w:color w:val="000000"/>
                      <w:sz w:val="20"/>
                      <w:szCs w:val="20"/>
                      <w:lang w:val="lv-LV" w:eastAsia="lv-LV"/>
                    </w:rPr>
                  </w:pPr>
                  <w:r w:rsidRPr="00952F18">
                    <w:rPr>
                      <w:color w:val="000000"/>
                      <w:sz w:val="20"/>
                      <w:szCs w:val="20"/>
                      <w:lang w:val="lv-LV" w:eastAsia="lv-LV"/>
                    </w:rPr>
                    <w:lastRenderedPageBreak/>
                    <w:t>Gala vērtējumu</w:t>
                  </w:r>
                  <w:r w:rsidR="007A2D35" w:rsidRPr="00952F18">
                    <w:rPr>
                      <w:color w:val="000000"/>
                      <w:sz w:val="20"/>
                      <w:szCs w:val="20"/>
                      <w:lang w:val="lv-LV" w:eastAsia="lv-LV"/>
                    </w:rPr>
                    <w:t xml:space="preserve"> </w:t>
                  </w:r>
                  <w:r w:rsidRPr="00952F18">
                    <w:rPr>
                      <w:color w:val="000000"/>
                      <w:sz w:val="20"/>
                      <w:szCs w:val="20"/>
                      <w:lang w:val="lv-LV" w:eastAsia="lv-LV"/>
                    </w:rPr>
                    <w:t xml:space="preserve">aprēķina pēc šādas formulas: </w:t>
                  </w:r>
                  <w:r w:rsidRPr="00952F18">
                    <w:rPr>
                      <w:b/>
                      <w:bCs/>
                      <w:color w:val="000000"/>
                      <w:sz w:val="20"/>
                      <w:szCs w:val="20"/>
                      <w:lang w:val="lv-LV" w:eastAsia="lv-LV"/>
                    </w:rPr>
                    <w:t>MP=F+V</w:t>
                  </w:r>
                  <w:r w:rsidRPr="00952F18">
                    <w:rPr>
                      <w:b/>
                      <w:bCs/>
                      <w:color w:val="000000"/>
                      <w:sz w:val="20"/>
                      <w:szCs w:val="20"/>
                      <w:vertAlign w:val="subscript"/>
                      <w:lang w:val="lv-LV" w:eastAsia="lv-LV"/>
                    </w:rPr>
                    <w:t>C+M+K+I</w:t>
                  </w:r>
                </w:p>
              </w:tc>
              <w:tc>
                <w:tcPr>
                  <w:tcW w:w="709"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100</w:t>
                  </w:r>
                </w:p>
              </w:tc>
              <w:tc>
                <w:tcPr>
                  <w:tcW w:w="1076"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86.55</w:t>
                  </w:r>
                </w:p>
              </w:tc>
              <w:tc>
                <w:tcPr>
                  <w:tcW w:w="1027"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67.00</w:t>
                  </w:r>
                </w:p>
              </w:tc>
              <w:tc>
                <w:tcPr>
                  <w:tcW w:w="816"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56.41</w:t>
                  </w:r>
                </w:p>
              </w:tc>
              <w:tc>
                <w:tcPr>
                  <w:tcW w:w="1050"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60.4</w:t>
                  </w:r>
                  <w:r w:rsidR="00DE2B72">
                    <w:rPr>
                      <w:b/>
                      <w:color w:val="000000"/>
                      <w:sz w:val="20"/>
                      <w:szCs w:val="20"/>
                      <w:lang w:eastAsia="lv-LV"/>
                    </w:rPr>
                    <w:t>1</w:t>
                  </w:r>
                </w:p>
              </w:tc>
              <w:tc>
                <w:tcPr>
                  <w:tcW w:w="850" w:type="dxa"/>
                  <w:tcBorders>
                    <w:top w:val="single" w:sz="4" w:space="0" w:color="auto"/>
                    <w:bottom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69.24</w:t>
                  </w:r>
                </w:p>
              </w:tc>
            </w:tr>
            <w:tr w:rsidR="00D22655" w:rsidRPr="00952F18" w:rsidTr="00D22655">
              <w:tc>
                <w:tcPr>
                  <w:tcW w:w="4713"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both"/>
                    <w:rPr>
                      <w:b/>
                      <w:bCs/>
                      <w:color w:val="000000"/>
                      <w:sz w:val="20"/>
                      <w:szCs w:val="20"/>
                      <w:lang w:val="lv-LV" w:eastAsia="lv-LV"/>
                    </w:rPr>
                  </w:pPr>
                  <w:r w:rsidRPr="00952F18">
                    <w:rPr>
                      <w:b/>
                      <w:bCs/>
                      <w:color w:val="000000"/>
                      <w:sz w:val="20"/>
                      <w:szCs w:val="20"/>
                      <w:lang w:val="lv-LV" w:eastAsia="lv-LV"/>
                    </w:rPr>
                    <w:t>Vietu sadalījums</w:t>
                  </w:r>
                </w:p>
              </w:tc>
              <w:tc>
                <w:tcPr>
                  <w:tcW w:w="709"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p>
              </w:tc>
              <w:tc>
                <w:tcPr>
                  <w:tcW w:w="1076"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1</w:t>
                  </w:r>
                </w:p>
              </w:tc>
              <w:tc>
                <w:tcPr>
                  <w:tcW w:w="1027"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3</w:t>
                  </w:r>
                </w:p>
              </w:tc>
              <w:tc>
                <w:tcPr>
                  <w:tcW w:w="816"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Cs/>
                      <w:color w:val="000000"/>
                      <w:sz w:val="20"/>
                      <w:szCs w:val="20"/>
                      <w:lang w:eastAsia="lv-LV"/>
                    </w:rPr>
                  </w:pPr>
                  <w:r w:rsidRPr="00952F18">
                    <w:rPr>
                      <w:bCs/>
                      <w:color w:val="000000"/>
                      <w:sz w:val="20"/>
                      <w:szCs w:val="20"/>
                      <w:lang w:eastAsia="lv-LV"/>
                    </w:rPr>
                    <w:t>5</w:t>
                  </w:r>
                </w:p>
              </w:tc>
              <w:tc>
                <w:tcPr>
                  <w:tcW w:w="1050"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Cs/>
                      <w:color w:val="000000"/>
                      <w:sz w:val="20"/>
                      <w:szCs w:val="20"/>
                      <w:lang w:eastAsia="lv-LV"/>
                    </w:rPr>
                  </w:pPr>
                  <w:r w:rsidRPr="00952F18">
                    <w:rPr>
                      <w:bCs/>
                      <w:color w:val="000000"/>
                      <w:sz w:val="20"/>
                      <w:szCs w:val="20"/>
                      <w:lang w:eastAsia="lv-LV"/>
                    </w:rPr>
                    <w:t>4</w:t>
                  </w:r>
                </w:p>
              </w:tc>
              <w:tc>
                <w:tcPr>
                  <w:tcW w:w="850" w:type="dxa"/>
                  <w:tcBorders>
                    <w:top w:val="single" w:sz="4" w:space="0" w:color="auto"/>
                  </w:tcBorders>
                  <w:shd w:val="clear" w:color="auto" w:fill="F2F2F2"/>
                </w:tcPr>
                <w:p w:rsidR="00D22655" w:rsidRPr="00952F18" w:rsidRDefault="00D22655" w:rsidP="00D22655">
                  <w:pPr>
                    <w:autoSpaceDE w:val="0"/>
                    <w:autoSpaceDN w:val="0"/>
                    <w:adjustRightInd w:val="0"/>
                    <w:spacing w:before="20" w:after="20"/>
                    <w:jc w:val="center"/>
                    <w:rPr>
                      <w:b/>
                      <w:color w:val="000000"/>
                      <w:sz w:val="20"/>
                      <w:szCs w:val="20"/>
                      <w:lang w:eastAsia="lv-LV"/>
                    </w:rPr>
                  </w:pPr>
                  <w:r w:rsidRPr="00952F18">
                    <w:rPr>
                      <w:b/>
                      <w:color w:val="000000"/>
                      <w:sz w:val="20"/>
                      <w:szCs w:val="20"/>
                      <w:lang w:eastAsia="lv-LV"/>
                    </w:rPr>
                    <w:t>2</w:t>
                  </w:r>
                </w:p>
              </w:tc>
            </w:tr>
          </w:tbl>
          <w:p w:rsidR="002A4556" w:rsidRPr="00952F18" w:rsidRDefault="002A4556" w:rsidP="00E75A36">
            <w:pPr>
              <w:suppressAutoHyphens/>
              <w:jc w:val="both"/>
              <w:rPr>
                <w:rFonts w:eastAsia="Calibri"/>
                <w:bCs/>
                <w:color w:val="000000"/>
                <w:lang w:val="lv-LV"/>
              </w:rPr>
            </w:pPr>
          </w:p>
        </w:tc>
      </w:tr>
      <w:tr w:rsidR="00A65C7C" w:rsidRPr="00DE2B72" w:rsidTr="007D02D7">
        <w:tc>
          <w:tcPr>
            <w:tcW w:w="10467" w:type="dxa"/>
            <w:gridSpan w:val="2"/>
            <w:tcBorders>
              <w:top w:val="nil"/>
              <w:left w:val="nil"/>
              <w:bottom w:val="single" w:sz="4" w:space="0" w:color="auto"/>
              <w:right w:val="nil"/>
            </w:tcBorders>
          </w:tcPr>
          <w:p w:rsidR="00800D8E" w:rsidRDefault="00800D8E" w:rsidP="00800D8E">
            <w:pPr>
              <w:pStyle w:val="ListParagraph2"/>
              <w:suppressAutoHyphens/>
              <w:spacing w:before="120" w:after="120" w:line="240" w:lineRule="auto"/>
              <w:ind w:left="360"/>
              <w:jc w:val="both"/>
              <w:rPr>
                <w:rFonts w:ascii="Times New Roman" w:hAnsi="Times New Roman" w:cs="Times New Roman"/>
                <w:bCs/>
                <w:color w:val="000000"/>
                <w:sz w:val="24"/>
                <w:szCs w:val="24"/>
              </w:rPr>
            </w:pPr>
          </w:p>
          <w:p w:rsidR="00A65C7C" w:rsidRDefault="00A65C7C" w:rsidP="00A65C7C">
            <w:pPr>
              <w:pStyle w:val="ListParagraph2"/>
              <w:numPr>
                <w:ilvl w:val="0"/>
                <w:numId w:val="14"/>
              </w:numPr>
              <w:suppressAutoHyphens/>
              <w:spacing w:before="120" w:after="120" w:line="240" w:lineRule="auto"/>
              <w:jc w:val="both"/>
              <w:rPr>
                <w:rFonts w:ascii="Times New Roman" w:hAnsi="Times New Roman" w:cs="Times New Roman"/>
                <w:bCs/>
                <w:color w:val="000000"/>
                <w:sz w:val="24"/>
                <w:szCs w:val="24"/>
              </w:rPr>
            </w:pPr>
            <w:r w:rsidRPr="00A65C7C">
              <w:rPr>
                <w:rFonts w:ascii="Times New Roman" w:hAnsi="Times New Roman" w:cs="Times New Roman"/>
                <w:bCs/>
                <w:color w:val="000000"/>
                <w:sz w:val="24"/>
                <w:szCs w:val="24"/>
              </w:rPr>
              <w:lastRenderedPageBreak/>
              <w:t>Pretendentu izslēgšanas nosacījumu pārbaudes kopsavilkums</w:t>
            </w:r>
          </w:p>
          <w:p w:rsidR="00A65C7C" w:rsidRPr="00A65C7C" w:rsidRDefault="00814485" w:rsidP="00A65C7C">
            <w:pPr>
              <w:pStyle w:val="ListParagraph2"/>
              <w:suppressAutoHyphens/>
              <w:spacing w:before="120" w:after="120" w:line="240" w:lineRule="auto"/>
              <w:ind w:left="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w:t>
            </w:r>
            <w:r w:rsidR="00A65C7C" w:rsidRPr="00A65C7C">
              <w:rPr>
                <w:rFonts w:ascii="Times New Roman" w:hAnsi="Times New Roman" w:cs="Times New Roman"/>
                <w:bCs/>
                <w:color w:val="000000"/>
                <w:sz w:val="24"/>
                <w:szCs w:val="24"/>
              </w:rPr>
              <w:t>z pretendentiem, kuriem atbilstoši Iepirkuma nolikumā noteiktajām prasībām būtu piešķiramas vispārīgās vienošanās slēgšanas tiesības</w:t>
            </w:r>
            <w:r w:rsidR="00A65C7C">
              <w:rPr>
                <w:rFonts w:ascii="Times New Roman" w:hAnsi="Times New Roman" w:cs="Times New Roman"/>
                <w:bCs/>
                <w:color w:val="000000"/>
                <w:sz w:val="24"/>
                <w:szCs w:val="24"/>
              </w:rPr>
              <w:t xml:space="preserve"> – </w:t>
            </w:r>
            <w:r w:rsidR="00A65C7C" w:rsidRPr="00A65C7C">
              <w:rPr>
                <w:rFonts w:ascii="Times New Roman" w:hAnsi="Times New Roman" w:cs="Times New Roman"/>
                <w:bCs/>
                <w:color w:val="000000"/>
                <w:sz w:val="24"/>
                <w:szCs w:val="24"/>
              </w:rPr>
              <w:t>SIA “Idea Havas Media”</w:t>
            </w:r>
            <w:r w:rsidR="00A65C7C">
              <w:rPr>
                <w:rFonts w:ascii="Times New Roman" w:hAnsi="Times New Roman" w:cs="Times New Roman"/>
                <w:bCs/>
                <w:color w:val="000000"/>
                <w:sz w:val="24"/>
                <w:szCs w:val="24"/>
              </w:rPr>
              <w:t>, SIA “Initiative Latvia”</w:t>
            </w:r>
            <w:r w:rsidR="00A65C7C" w:rsidRPr="00A65C7C">
              <w:rPr>
                <w:rFonts w:ascii="Times New Roman" w:hAnsi="Times New Roman" w:cs="Times New Roman"/>
                <w:bCs/>
                <w:color w:val="000000"/>
                <w:sz w:val="24"/>
                <w:szCs w:val="24"/>
              </w:rPr>
              <w:t xml:space="preserve"> un SIA “Trendmark”</w:t>
            </w:r>
            <w:r w:rsidR="00A65C7C">
              <w:rPr>
                <w:rFonts w:ascii="Times New Roman" w:hAnsi="Times New Roman" w:cs="Times New Roman"/>
                <w:bCs/>
                <w:color w:val="000000"/>
                <w:sz w:val="24"/>
                <w:szCs w:val="24"/>
              </w:rPr>
              <w:t xml:space="preserve"> – nav </w:t>
            </w:r>
            <w:r w:rsidR="00A65C7C" w:rsidRPr="00A65C7C">
              <w:rPr>
                <w:rFonts w:ascii="Times New Roman" w:hAnsi="Times New Roman" w:cs="Times New Roman"/>
                <w:bCs/>
                <w:color w:val="000000"/>
                <w:sz w:val="24"/>
                <w:szCs w:val="24"/>
              </w:rPr>
              <w:t>attiecināmi izslēgšanas noteikumi, kuri noteikti PIL 42. pantā</w:t>
            </w:r>
            <w:r w:rsidR="00A65C7C">
              <w:rPr>
                <w:rFonts w:ascii="Times New Roman" w:hAnsi="Times New Roman" w:cs="Times New Roman"/>
                <w:bCs/>
                <w:color w:val="000000"/>
                <w:sz w:val="24"/>
                <w:szCs w:val="24"/>
              </w:rPr>
              <w:t xml:space="preserve">, </w:t>
            </w:r>
            <w:r w:rsidR="00A65C7C" w:rsidRPr="00A65C7C">
              <w:rPr>
                <w:rFonts w:ascii="Times New Roman" w:hAnsi="Times New Roman" w:cs="Times New Roman"/>
                <w:bCs/>
                <w:color w:val="000000"/>
                <w:sz w:val="24"/>
                <w:szCs w:val="24"/>
              </w:rPr>
              <w:t xml:space="preserve">kā arī uz </w:t>
            </w:r>
            <w:r w:rsidR="00EF6B11">
              <w:rPr>
                <w:rFonts w:ascii="Times New Roman" w:hAnsi="Times New Roman" w:cs="Times New Roman"/>
                <w:bCs/>
                <w:color w:val="000000"/>
                <w:sz w:val="24"/>
                <w:szCs w:val="24"/>
              </w:rPr>
              <w:t xml:space="preserve">minētajiem </w:t>
            </w:r>
            <w:r w:rsidR="00A65C7C" w:rsidRPr="00A65C7C">
              <w:rPr>
                <w:rFonts w:ascii="Times New Roman" w:hAnsi="Times New Roman" w:cs="Times New Roman"/>
                <w:bCs/>
                <w:color w:val="000000"/>
                <w:sz w:val="24"/>
                <w:szCs w:val="24"/>
              </w:rPr>
              <w:t>pretendentiem neattiecas Starptautisko un Latvijas Republikas nacionālo sankciju likuma 11.</w:t>
            </w:r>
            <w:r w:rsidR="00A65C7C" w:rsidRPr="00EF6B11">
              <w:rPr>
                <w:rFonts w:ascii="Times New Roman" w:hAnsi="Times New Roman" w:cs="Times New Roman"/>
                <w:bCs/>
                <w:color w:val="000000"/>
                <w:sz w:val="24"/>
                <w:szCs w:val="24"/>
                <w:vertAlign w:val="superscript"/>
              </w:rPr>
              <w:t>1</w:t>
            </w:r>
            <w:r w:rsidR="00A65C7C" w:rsidRPr="00A65C7C">
              <w:rPr>
                <w:rFonts w:ascii="Times New Roman" w:hAnsi="Times New Roman" w:cs="Times New Roman"/>
                <w:bCs/>
                <w:color w:val="000000"/>
                <w:sz w:val="24"/>
                <w:szCs w:val="24"/>
              </w:rPr>
              <w:t xml:space="preserve"> panta pirmajā un otrajā daļā noteiktie izslēgšanas nosacījumi.</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lastRenderedPageBreak/>
              <w:t>Informācija (ja tā ir zināma) par to iepirkuma līguma daļu, kuru izraudzītais pretendents plānojis nodot apakšuzņēmējiem, kā arī apakšuzņēmēju nosaukumi</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attiecināms.</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t>Pamatojums lēmumam par katru noraidīto pretendentu, kā arī par katru iepirkuma procedūras dokumentiem neatbilstošu piedāvājumu</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noraidīto pretendentu.</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t>Ja piedāvājumu iesniedzis tikai viens piegādātājs, – pamatojums iepirkuma procedūras nepārtraukšanai saskaņā ar MK noteikumu Nr. 107 19. punktu</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attiecināms.</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t>Lēmuma pamatojums, ja iepirkuma komisija pieņēmusi lēmumu pārtraukt vai izbeigt iepirkuma procedūru</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attiecināms.</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t>Piedāvājuma noraidīšanas pamatojums, ja iepirkuma komisija atzinusi piedāvājumu par nepamatoti lētu</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attiecināms.</w:t>
            </w:r>
          </w:p>
        </w:tc>
      </w:tr>
      <w:tr w:rsidR="007A2D35" w:rsidRPr="00952F18" w:rsidTr="007A2D35">
        <w:tc>
          <w:tcPr>
            <w:tcW w:w="4462" w:type="dxa"/>
            <w:tcBorders>
              <w:top w:val="single" w:sz="4" w:space="0" w:color="auto"/>
              <w:left w:val="nil"/>
              <w:bottom w:val="single" w:sz="4" w:space="0" w:color="auto"/>
              <w:right w:val="single" w:sz="4" w:space="0" w:color="auto"/>
            </w:tcBorders>
          </w:tcPr>
          <w:p w:rsidR="007A2D35" w:rsidRPr="00952F18" w:rsidRDefault="007A2D35" w:rsidP="007A2D35">
            <w:pPr>
              <w:spacing w:before="60" w:after="60"/>
              <w:jc w:val="both"/>
              <w:rPr>
                <w:lang w:val="lv-LV"/>
              </w:rPr>
            </w:pPr>
            <w:r w:rsidRPr="00952F18">
              <w:rPr>
                <w:lang w:val="lv-LV"/>
              </w:rPr>
              <w:t>Iemesli, kuru dēļ netiek paredzēta elektroniska piedāvājumu iesniegšana, ja pasūtītājam ir pienākums izmantot piedāvājumu saņemšanai elektroniskās informācijas sistēmas</w:t>
            </w:r>
          </w:p>
        </w:tc>
        <w:tc>
          <w:tcPr>
            <w:tcW w:w="6005" w:type="dxa"/>
            <w:tcBorders>
              <w:top w:val="single" w:sz="4" w:space="0" w:color="auto"/>
              <w:left w:val="single" w:sz="4" w:space="0" w:color="auto"/>
              <w:bottom w:val="single" w:sz="4" w:space="0" w:color="auto"/>
              <w:right w:val="nil"/>
            </w:tcBorders>
          </w:tcPr>
          <w:p w:rsidR="007A2D35" w:rsidRPr="00952F18" w:rsidRDefault="007A2D35" w:rsidP="007A2D35">
            <w:pPr>
              <w:spacing w:before="60" w:after="60"/>
              <w:jc w:val="both"/>
              <w:rPr>
                <w:lang w:val="lv-LV"/>
              </w:rPr>
            </w:pPr>
            <w:r w:rsidRPr="00952F18">
              <w:rPr>
                <w:lang w:val="lv-LV"/>
              </w:rPr>
              <w:t>Nav attiecināms.</w:t>
            </w:r>
          </w:p>
        </w:tc>
      </w:tr>
      <w:tr w:rsidR="007A2D35" w:rsidRPr="00DE2B72" w:rsidTr="007A2D35">
        <w:tc>
          <w:tcPr>
            <w:tcW w:w="4462" w:type="dxa"/>
            <w:tcBorders>
              <w:top w:val="single" w:sz="4" w:space="0" w:color="auto"/>
              <w:left w:val="nil"/>
              <w:bottom w:val="nil"/>
              <w:right w:val="single" w:sz="4" w:space="0" w:color="auto"/>
            </w:tcBorders>
          </w:tcPr>
          <w:p w:rsidR="007A2D35" w:rsidRPr="00952F18" w:rsidRDefault="007A2D35" w:rsidP="007A2D35">
            <w:pPr>
              <w:spacing w:before="60" w:after="60"/>
              <w:jc w:val="both"/>
              <w:rPr>
                <w:lang w:val="lv-LV"/>
              </w:rPr>
            </w:pPr>
            <w:r w:rsidRPr="00952F18">
              <w:rPr>
                <w:lang w:val="lv-LV"/>
              </w:rPr>
              <w:t>Konstatētie interešu konflikti un pasākumi, kas veikti to novēršanai</w:t>
            </w:r>
          </w:p>
        </w:tc>
        <w:tc>
          <w:tcPr>
            <w:tcW w:w="6005" w:type="dxa"/>
            <w:tcBorders>
              <w:top w:val="single" w:sz="4" w:space="0" w:color="auto"/>
              <w:left w:val="single" w:sz="4" w:space="0" w:color="auto"/>
              <w:bottom w:val="nil"/>
              <w:right w:val="nil"/>
            </w:tcBorders>
          </w:tcPr>
          <w:p w:rsidR="007A2D35" w:rsidRPr="00952F18" w:rsidRDefault="007A2D35" w:rsidP="007A2D35">
            <w:pPr>
              <w:pStyle w:val="tv213"/>
              <w:spacing w:before="60" w:beforeAutospacing="0" w:after="60" w:afterAutospacing="0"/>
              <w:jc w:val="both"/>
            </w:pPr>
            <w:r w:rsidRPr="00952F18">
              <w:t>Nav konstatēti.</w:t>
            </w:r>
          </w:p>
          <w:p w:rsidR="007A2D35" w:rsidRPr="00952F18" w:rsidRDefault="007A2D35" w:rsidP="007A2D35">
            <w:pPr>
              <w:pStyle w:val="tv213"/>
              <w:spacing w:before="60" w:beforeAutospacing="0" w:after="60" w:afterAutospacing="0"/>
              <w:jc w:val="both"/>
            </w:pPr>
            <w:r w:rsidRPr="00952F18">
              <w:t>Veiktas Publisko iepirkumu likuma III nodaļā paredzētās procedūras.</w:t>
            </w:r>
          </w:p>
        </w:tc>
      </w:tr>
    </w:tbl>
    <w:p w:rsidR="007D4EAB" w:rsidRPr="00952F18" w:rsidRDefault="007D4EAB" w:rsidP="00233F11">
      <w:pPr>
        <w:jc w:val="both"/>
        <w:rPr>
          <w:lang w:val="lv-LV"/>
        </w:rPr>
      </w:pPr>
    </w:p>
    <w:p w:rsidR="004659DC" w:rsidRPr="00952F18" w:rsidRDefault="004659DC" w:rsidP="00233F11">
      <w:pPr>
        <w:jc w:val="both"/>
        <w:rPr>
          <w:lang w:val="lv-LV"/>
        </w:rPr>
      </w:pPr>
    </w:p>
    <w:p w:rsidR="004659DC" w:rsidRPr="00952F18" w:rsidRDefault="004659DC" w:rsidP="00233F11">
      <w:pPr>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41889" w:rsidRPr="00952F18" w:rsidTr="004659DC">
        <w:trPr>
          <w:trHeight w:val="633"/>
        </w:trPr>
        <w:tc>
          <w:tcPr>
            <w:tcW w:w="4856" w:type="dxa"/>
          </w:tcPr>
          <w:p w:rsidR="00233F11" w:rsidRPr="00952F18" w:rsidRDefault="00233F11" w:rsidP="00233F11">
            <w:pPr>
              <w:jc w:val="both"/>
              <w:rPr>
                <w:rFonts w:eastAsia="Calibri"/>
                <w:lang w:val="lv-LV"/>
              </w:rPr>
            </w:pPr>
            <w:r w:rsidRPr="00952F18">
              <w:rPr>
                <w:lang w:val="lv-LV"/>
              </w:rPr>
              <w:t>Iepirkum</w:t>
            </w:r>
            <w:r w:rsidR="001002A7">
              <w:rPr>
                <w:lang w:val="lv-LV"/>
              </w:rPr>
              <w:t>a komisijas priekšsēdētāja</w:t>
            </w:r>
            <w:r w:rsidRPr="00952F18">
              <w:rPr>
                <w:lang w:val="lv-LV"/>
              </w:rPr>
              <w:t xml:space="preserve">                                  </w:t>
            </w:r>
          </w:p>
        </w:tc>
        <w:tc>
          <w:tcPr>
            <w:tcW w:w="4856" w:type="dxa"/>
          </w:tcPr>
          <w:p w:rsidR="00233F11" w:rsidRPr="00952F18" w:rsidRDefault="00233F11" w:rsidP="004659DC">
            <w:pPr>
              <w:jc w:val="right"/>
              <w:rPr>
                <w:rFonts w:eastAsia="Calibri"/>
                <w:lang w:val="lv-LV"/>
              </w:rPr>
            </w:pPr>
            <w:r w:rsidRPr="00952F18">
              <w:rPr>
                <w:lang w:val="lv-LV"/>
              </w:rPr>
              <w:t>Kristīne Graudumniece</w:t>
            </w:r>
          </w:p>
        </w:tc>
      </w:tr>
      <w:tr w:rsidR="00841889" w:rsidRPr="00841889" w:rsidTr="00233F11">
        <w:tc>
          <w:tcPr>
            <w:tcW w:w="4856" w:type="dxa"/>
          </w:tcPr>
          <w:p w:rsidR="004659DC" w:rsidRPr="00952F18" w:rsidRDefault="004659DC" w:rsidP="00233F11">
            <w:pPr>
              <w:rPr>
                <w:lang w:val="lv-LV"/>
              </w:rPr>
            </w:pPr>
          </w:p>
          <w:p w:rsidR="00233F11" w:rsidRPr="00841889" w:rsidRDefault="00233F11" w:rsidP="00233F11">
            <w:pPr>
              <w:rPr>
                <w:lang w:val="lv-LV"/>
              </w:rPr>
            </w:pPr>
            <w:r w:rsidRPr="00952F18">
              <w:rPr>
                <w:lang w:val="lv-LV"/>
              </w:rPr>
              <w:t>Gromova 67037956</w:t>
            </w:r>
          </w:p>
        </w:tc>
        <w:tc>
          <w:tcPr>
            <w:tcW w:w="4856" w:type="dxa"/>
          </w:tcPr>
          <w:p w:rsidR="00233F11" w:rsidRPr="00841889" w:rsidRDefault="00233F11" w:rsidP="00233F11">
            <w:pPr>
              <w:jc w:val="both"/>
              <w:rPr>
                <w:rFonts w:eastAsia="Calibri"/>
                <w:lang w:val="lv-LV"/>
              </w:rPr>
            </w:pPr>
          </w:p>
        </w:tc>
      </w:tr>
    </w:tbl>
    <w:p w:rsidR="00A56E70" w:rsidRPr="00B2324C" w:rsidRDefault="00A56E70">
      <w:pPr>
        <w:rPr>
          <w:lang w:val="lv-LV"/>
        </w:rPr>
      </w:pPr>
    </w:p>
    <w:sectPr w:rsidR="00A56E70" w:rsidRPr="00B2324C" w:rsidSect="00475335">
      <w:footerReference w:type="default" r:id="rId8"/>
      <w:pgSz w:w="11906" w:h="16838"/>
      <w:pgMar w:top="709"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52B" w:rsidRDefault="00EC652B" w:rsidP="00EC652B">
      <w:r>
        <w:separator/>
      </w:r>
    </w:p>
  </w:endnote>
  <w:endnote w:type="continuationSeparator" w:id="0">
    <w:p w:rsidR="00EC652B" w:rsidRDefault="00EC652B"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027460"/>
      <w:docPartObj>
        <w:docPartGallery w:val="Page Numbers (Bottom of Page)"/>
        <w:docPartUnique/>
      </w:docPartObj>
    </w:sdtPr>
    <w:sdtEndPr/>
    <w:sdtContent>
      <w:p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52B" w:rsidRDefault="00EC652B" w:rsidP="00EC652B">
      <w:r>
        <w:separator/>
      </w:r>
    </w:p>
  </w:footnote>
  <w:footnote w:type="continuationSeparator" w:id="0">
    <w:p w:rsidR="00EC652B" w:rsidRDefault="00EC652B"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F2555D"/>
    <w:multiLevelType w:val="hybridMultilevel"/>
    <w:tmpl w:val="F47E1C36"/>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73263907"/>
    <w:multiLevelType w:val="hybridMultilevel"/>
    <w:tmpl w:val="79146E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69B599D"/>
    <w:multiLevelType w:val="multilevel"/>
    <w:tmpl w:val="E40C27F0"/>
    <w:lvl w:ilvl="0">
      <w:start w:val="8"/>
      <w:numFmt w:val="decimal"/>
      <w:lvlText w:val="%1."/>
      <w:lvlJc w:val="left"/>
      <w:pPr>
        <w:ind w:left="585" w:hanging="58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5777E3"/>
    <w:multiLevelType w:val="hybridMultilevel"/>
    <w:tmpl w:val="B15C8714"/>
    <w:lvl w:ilvl="0" w:tplc="04260011">
      <w:start w:val="1"/>
      <w:numFmt w:val="decimal"/>
      <w:lvlText w:val="%1)"/>
      <w:lvlJc w:val="left"/>
      <w:pPr>
        <w:ind w:left="2514" w:hanging="360"/>
      </w:pPr>
    </w:lvl>
    <w:lvl w:ilvl="1" w:tplc="04260019" w:tentative="1">
      <w:start w:val="1"/>
      <w:numFmt w:val="lowerLetter"/>
      <w:lvlText w:val="%2."/>
      <w:lvlJc w:val="left"/>
      <w:pPr>
        <w:ind w:left="3234" w:hanging="360"/>
      </w:pPr>
    </w:lvl>
    <w:lvl w:ilvl="2" w:tplc="0426001B" w:tentative="1">
      <w:start w:val="1"/>
      <w:numFmt w:val="lowerRoman"/>
      <w:lvlText w:val="%3."/>
      <w:lvlJc w:val="right"/>
      <w:pPr>
        <w:ind w:left="3954" w:hanging="180"/>
      </w:pPr>
    </w:lvl>
    <w:lvl w:ilvl="3" w:tplc="0426000F" w:tentative="1">
      <w:start w:val="1"/>
      <w:numFmt w:val="decimal"/>
      <w:lvlText w:val="%4."/>
      <w:lvlJc w:val="left"/>
      <w:pPr>
        <w:ind w:left="4674" w:hanging="360"/>
      </w:pPr>
    </w:lvl>
    <w:lvl w:ilvl="4" w:tplc="04260019" w:tentative="1">
      <w:start w:val="1"/>
      <w:numFmt w:val="lowerLetter"/>
      <w:lvlText w:val="%5."/>
      <w:lvlJc w:val="left"/>
      <w:pPr>
        <w:ind w:left="5394" w:hanging="360"/>
      </w:pPr>
    </w:lvl>
    <w:lvl w:ilvl="5" w:tplc="0426001B" w:tentative="1">
      <w:start w:val="1"/>
      <w:numFmt w:val="lowerRoman"/>
      <w:lvlText w:val="%6."/>
      <w:lvlJc w:val="right"/>
      <w:pPr>
        <w:ind w:left="6114" w:hanging="180"/>
      </w:pPr>
    </w:lvl>
    <w:lvl w:ilvl="6" w:tplc="0426000F" w:tentative="1">
      <w:start w:val="1"/>
      <w:numFmt w:val="decimal"/>
      <w:lvlText w:val="%7."/>
      <w:lvlJc w:val="left"/>
      <w:pPr>
        <w:ind w:left="6834" w:hanging="360"/>
      </w:pPr>
    </w:lvl>
    <w:lvl w:ilvl="7" w:tplc="04260019" w:tentative="1">
      <w:start w:val="1"/>
      <w:numFmt w:val="lowerLetter"/>
      <w:lvlText w:val="%8."/>
      <w:lvlJc w:val="left"/>
      <w:pPr>
        <w:ind w:left="7554" w:hanging="360"/>
      </w:pPr>
    </w:lvl>
    <w:lvl w:ilvl="8" w:tplc="0426001B" w:tentative="1">
      <w:start w:val="1"/>
      <w:numFmt w:val="lowerRoman"/>
      <w:lvlText w:val="%9."/>
      <w:lvlJc w:val="right"/>
      <w:pPr>
        <w:ind w:left="8274" w:hanging="180"/>
      </w:pPr>
    </w:lvl>
  </w:abstractNum>
  <w:num w:numId="1">
    <w:abstractNumId w:val="5"/>
  </w:num>
  <w:num w:numId="2">
    <w:abstractNumId w:val="0"/>
  </w:num>
  <w:num w:numId="3">
    <w:abstractNumId w:val="1"/>
  </w:num>
  <w:num w:numId="4">
    <w:abstractNumId w:val="11"/>
  </w:num>
  <w:num w:numId="5">
    <w:abstractNumId w:val="3"/>
  </w:num>
  <w:num w:numId="6">
    <w:abstractNumId w:val="2"/>
  </w:num>
  <w:num w:numId="7">
    <w:abstractNumId w:val="6"/>
  </w:num>
  <w:num w:numId="8">
    <w:abstractNumId w:val="8"/>
  </w:num>
  <w:num w:numId="9">
    <w:abstractNumId w:val="4"/>
  </w:num>
  <w:num w:numId="10">
    <w:abstractNumId w:val="13"/>
  </w:num>
  <w:num w:numId="11">
    <w:abstractNumId w:val="12"/>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1260E"/>
    <w:rsid w:val="00070752"/>
    <w:rsid w:val="0007139A"/>
    <w:rsid w:val="000A33AF"/>
    <w:rsid w:val="000B3F5F"/>
    <w:rsid w:val="000E0BEA"/>
    <w:rsid w:val="001002A7"/>
    <w:rsid w:val="00116BA7"/>
    <w:rsid w:val="001D67A1"/>
    <w:rsid w:val="00206DA3"/>
    <w:rsid w:val="00221DAF"/>
    <w:rsid w:val="00233F11"/>
    <w:rsid w:val="00266ECF"/>
    <w:rsid w:val="00290936"/>
    <w:rsid w:val="002A4556"/>
    <w:rsid w:val="002C137A"/>
    <w:rsid w:val="00333586"/>
    <w:rsid w:val="00340E00"/>
    <w:rsid w:val="00356CD5"/>
    <w:rsid w:val="00385BFC"/>
    <w:rsid w:val="004659DC"/>
    <w:rsid w:val="00475335"/>
    <w:rsid w:val="00482B80"/>
    <w:rsid w:val="00535D7F"/>
    <w:rsid w:val="00546063"/>
    <w:rsid w:val="00593C02"/>
    <w:rsid w:val="00632ABB"/>
    <w:rsid w:val="00653C6D"/>
    <w:rsid w:val="00693961"/>
    <w:rsid w:val="00702549"/>
    <w:rsid w:val="0071585F"/>
    <w:rsid w:val="00720973"/>
    <w:rsid w:val="00747723"/>
    <w:rsid w:val="00755109"/>
    <w:rsid w:val="00770705"/>
    <w:rsid w:val="00790877"/>
    <w:rsid w:val="007A2D35"/>
    <w:rsid w:val="007B715D"/>
    <w:rsid w:val="007D4EAB"/>
    <w:rsid w:val="00800D8E"/>
    <w:rsid w:val="008045DD"/>
    <w:rsid w:val="00814485"/>
    <w:rsid w:val="00824BF2"/>
    <w:rsid w:val="00841889"/>
    <w:rsid w:val="00844DCD"/>
    <w:rsid w:val="008A116B"/>
    <w:rsid w:val="00952F18"/>
    <w:rsid w:val="00956C8E"/>
    <w:rsid w:val="00980031"/>
    <w:rsid w:val="00995309"/>
    <w:rsid w:val="00A05FAD"/>
    <w:rsid w:val="00A56E70"/>
    <w:rsid w:val="00A65C7C"/>
    <w:rsid w:val="00B10860"/>
    <w:rsid w:val="00B2324C"/>
    <w:rsid w:val="00B3546B"/>
    <w:rsid w:val="00B82EB3"/>
    <w:rsid w:val="00BF536B"/>
    <w:rsid w:val="00BF68CC"/>
    <w:rsid w:val="00C1593F"/>
    <w:rsid w:val="00C842F6"/>
    <w:rsid w:val="00C95158"/>
    <w:rsid w:val="00CB4D9E"/>
    <w:rsid w:val="00D22655"/>
    <w:rsid w:val="00D33460"/>
    <w:rsid w:val="00D90DC3"/>
    <w:rsid w:val="00DA1169"/>
    <w:rsid w:val="00DE2B72"/>
    <w:rsid w:val="00E0101C"/>
    <w:rsid w:val="00E75A36"/>
    <w:rsid w:val="00E86118"/>
    <w:rsid w:val="00EA5A1D"/>
    <w:rsid w:val="00EC652B"/>
    <w:rsid w:val="00EF6B11"/>
    <w:rsid w:val="00F17854"/>
    <w:rsid w:val="00F30B2D"/>
    <w:rsid w:val="00F56127"/>
    <w:rsid w:val="00F6363F"/>
    <w:rsid w:val="00F70AB9"/>
    <w:rsid w:val="00FC0BCA"/>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2B50"/>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FF79-7E1C-46D1-9177-F2D0B124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6277</Words>
  <Characters>3579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Alīna Gromova</cp:lastModifiedBy>
  <cp:revision>58</cp:revision>
  <cp:lastPrinted>2020-05-19T15:06:00Z</cp:lastPrinted>
  <dcterms:created xsi:type="dcterms:W3CDTF">2020-05-19T14:27:00Z</dcterms:created>
  <dcterms:modified xsi:type="dcterms:W3CDTF">2020-10-09T13:07:00Z</dcterms:modified>
</cp:coreProperties>
</file>