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9E42A8">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A607BE">
        <w:rPr>
          <w:rFonts w:ascii="Times New Roman" w:hAnsi="Times New Roman" w:cs="Times New Roman"/>
          <w:bCs/>
          <w:color w:val="000000"/>
          <w:sz w:val="26"/>
          <w:szCs w:val="26"/>
          <w:lang w:eastAsia="ar-SA"/>
        </w:rPr>
        <w:t>2020/</w:t>
      </w:r>
      <w:r w:rsidR="00C542F3">
        <w:rPr>
          <w:rFonts w:ascii="Times New Roman" w:hAnsi="Times New Roman" w:cs="Times New Roman"/>
          <w:bCs/>
          <w:color w:val="000000"/>
          <w:sz w:val="26"/>
          <w:szCs w:val="26"/>
          <w:lang w:eastAsia="ar-SA"/>
        </w:rPr>
        <w:t>20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Pr="00C542F3">
        <w:rPr>
          <w:rFonts w:ascii="Times New Roman" w:hAnsi="Times New Roman" w:cs="Times New Roman"/>
          <w:color w:val="000000"/>
          <w:sz w:val="26"/>
          <w:szCs w:val="26"/>
        </w:rPr>
        <w:t>dokumenta nosaukums</w:t>
      </w:r>
      <w:r w:rsidR="00B352DC" w:rsidRPr="00C542F3">
        <w:rPr>
          <w:rFonts w:ascii="Times New Roman" w:hAnsi="Times New Roman" w:cs="Times New Roman"/>
          <w:color w:val="000000"/>
          <w:sz w:val="26"/>
          <w:szCs w:val="26"/>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C542F3">
        <w:rPr>
          <w:rFonts w:ascii="Times New Roman" w:hAnsi="Times New Roman" w:cs="Times New Roman"/>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C542F3"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Nr.RD IKSD </w:t>
      </w:r>
      <w:r w:rsidR="00A607BE">
        <w:rPr>
          <w:rFonts w:ascii="Times New Roman" w:hAnsi="Times New Roman" w:cs="Times New Roman"/>
          <w:color w:val="000000"/>
          <w:sz w:val="26"/>
          <w:szCs w:val="26"/>
        </w:rPr>
        <w:t>2020/</w:t>
      </w:r>
      <w:r w:rsidR="00C542F3">
        <w:rPr>
          <w:rFonts w:ascii="Times New Roman" w:hAnsi="Times New Roman" w:cs="Times New Roman"/>
          <w:color w:val="000000"/>
          <w:sz w:val="26"/>
          <w:szCs w:val="26"/>
        </w:rPr>
        <w:t>20</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(-as)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3B15CE">
        <w:rPr>
          <w:rFonts w:ascii="Times New Roman" w:hAnsi="Times New Roman" w:cs="Times New Roman"/>
          <w:color w:val="000000"/>
          <w:sz w:val="26"/>
          <w:szCs w:val="24"/>
          <w:lang w:eastAsia="ar-SA"/>
        </w:rPr>
        <w:t>1</w:t>
      </w:r>
      <w:bookmarkStart w:id="0" w:name="_GoBack"/>
      <w:bookmarkEnd w:id="0"/>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092402">
        <w:rPr>
          <w:rFonts w:ascii="Times New Roman" w:hAnsi="Times New Roman" w:cs="Times New Roman"/>
          <w:color w:val="000000"/>
          <w:sz w:val="26"/>
          <w:szCs w:val="26"/>
          <w:lang w:eastAsia="ar-SA"/>
        </w:rPr>
        <w:t xml:space="preserve"> (turpmāk – PVN)</w:t>
      </w:r>
      <w:r w:rsidR="00B352DC" w:rsidRPr="00D24D95">
        <w:rPr>
          <w:rFonts w:ascii="Times New Roman" w:hAnsi="Times New Roman" w:cs="Times New Roman"/>
          <w:color w:val="000000"/>
          <w:sz w:val="26"/>
          <w:szCs w:val="24"/>
          <w:lang w:eastAsia="ar-SA"/>
        </w:rPr>
        <w:t>;</w:t>
      </w:r>
    </w:p>
    <w:p w:rsidR="00B352DC" w:rsidRPr="001E676A"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092402">
        <w:rPr>
          <w:rFonts w:ascii="Times New Roman" w:hAnsi="Times New Roman" w:cs="Times New Roman"/>
          <w:color w:val="000000"/>
          <w:sz w:val="26"/>
          <w:szCs w:val="26"/>
          <w:lang w:eastAsia="ar-SA"/>
        </w:rPr>
        <w:t>PVN</w:t>
      </w:r>
      <w:r w:rsidR="001E676A">
        <w:rPr>
          <w:rFonts w:ascii="Times New Roman" w:hAnsi="Times New Roman" w:cs="Times New Roman"/>
          <w:color w:val="000000"/>
          <w:sz w:val="26"/>
          <w:szCs w:val="26"/>
          <w:lang w:eastAsia="ar-SA"/>
        </w:rPr>
        <w:t>;</w:t>
      </w:r>
    </w:p>
    <w:p w:rsidR="001E676A" w:rsidRPr="00092402" w:rsidRDefault="00092402" w:rsidP="001E676A">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bookmarkStart w:id="1" w:name="_Hlk54161451"/>
      <w:r w:rsidRPr="00092402">
        <w:rPr>
          <w:rFonts w:ascii="Times New Roman" w:hAnsi="Times New Roman" w:cs="Times New Roman"/>
          <w:color w:val="000000"/>
          <w:sz w:val="26"/>
          <w:szCs w:val="26"/>
          <w:lang w:eastAsia="lv-LV"/>
        </w:rPr>
        <w:t xml:space="preserve">attālinātā (vai daļēji attālinātā) izglītības procesa īstenošanas laikā izglītojamiem, kas apgūst pamatizglītības vai vispārējās vidējās izglītības programmas, ēdināšanas (pārtikas paku) izmaksas atbilst pusdienu cenai; </w:t>
      </w:r>
      <w:r w:rsidR="001E676A" w:rsidRPr="00092402">
        <w:rPr>
          <w:rFonts w:ascii="Times New Roman" w:hAnsi="Times New Roman" w:cs="Times New Roman"/>
          <w:color w:val="000000"/>
          <w:sz w:val="26"/>
          <w:szCs w:val="26"/>
          <w:lang w:eastAsia="ar-SA"/>
        </w:rPr>
        <w:t>vienas pārtikas pakas cena</w:t>
      </w:r>
      <w:r>
        <w:rPr>
          <w:rFonts w:ascii="Times New Roman" w:hAnsi="Times New Roman" w:cs="Times New Roman"/>
          <w:color w:val="000000"/>
          <w:sz w:val="26"/>
          <w:szCs w:val="26"/>
          <w:lang w:eastAsia="ar-SA"/>
        </w:rPr>
        <w:t xml:space="preserve"> tiek aprēķināta</w:t>
      </w:r>
      <w:r w:rsidR="001E676A" w:rsidRPr="00092402">
        <w:rPr>
          <w:rFonts w:ascii="Times New Roman" w:hAnsi="Times New Roman" w:cs="Times New Roman"/>
          <w:color w:val="000000"/>
          <w:sz w:val="26"/>
          <w:szCs w:val="26"/>
          <w:lang w:eastAsia="ar-SA"/>
        </w:rPr>
        <w:t xml:space="preserve"> reizinot ar dienu skaitu, kurām </w:t>
      </w:r>
      <w:r w:rsidRPr="00092402">
        <w:rPr>
          <w:rFonts w:ascii="Times New Roman" w:hAnsi="Times New Roman" w:cs="Times New Roman"/>
          <w:color w:val="000000"/>
          <w:sz w:val="26"/>
          <w:szCs w:val="26"/>
          <w:lang w:eastAsia="ar-SA"/>
        </w:rPr>
        <w:t>tā</w:t>
      </w:r>
      <w:r w:rsidR="001E676A" w:rsidRPr="00092402">
        <w:rPr>
          <w:rFonts w:ascii="Times New Roman" w:hAnsi="Times New Roman" w:cs="Times New Roman"/>
          <w:color w:val="000000"/>
          <w:sz w:val="26"/>
          <w:szCs w:val="26"/>
          <w:lang w:eastAsia="ar-SA"/>
        </w:rPr>
        <w:t xml:space="preserve"> paredzēta</w:t>
      </w:r>
      <w:bookmarkEnd w:id="1"/>
      <w:r w:rsidRPr="00092402">
        <w:rPr>
          <w:rFonts w:ascii="Times New Roman" w:hAnsi="Times New Roman" w:cs="Times New Roman"/>
          <w:color w:val="000000"/>
          <w:sz w:val="26"/>
          <w:szCs w:val="26"/>
          <w:lang w:eastAsia="ar-SA"/>
        </w:rPr>
        <w:t>;</w:t>
      </w:r>
    </w:p>
    <w:p w:rsidR="001E676A" w:rsidRPr="00092402" w:rsidRDefault="00092402" w:rsidP="00092402">
      <w:pPr>
        <w:numPr>
          <w:ilvl w:val="2"/>
          <w:numId w:val="1"/>
        </w:numPr>
        <w:suppressAutoHyphens/>
        <w:spacing w:after="0" w:line="240" w:lineRule="auto"/>
        <w:ind w:left="0" w:firstLine="680"/>
        <w:jc w:val="both"/>
        <w:rPr>
          <w:rFonts w:ascii="Times New Roman" w:hAnsi="Times New Roman" w:cs="Times New Roman"/>
          <w:color w:val="000000"/>
          <w:sz w:val="26"/>
          <w:szCs w:val="26"/>
          <w:lang w:eastAsia="lv-LV"/>
        </w:rPr>
      </w:pPr>
      <w:r w:rsidRPr="00092402">
        <w:rPr>
          <w:rFonts w:ascii="Times New Roman" w:hAnsi="Times New Roman" w:cs="Times New Roman"/>
          <w:color w:val="000000"/>
          <w:sz w:val="26"/>
          <w:szCs w:val="26"/>
          <w:lang w:eastAsia="lv-LV"/>
        </w:rPr>
        <w:t>papildu atlīdzība</w:t>
      </w:r>
      <w:r w:rsidRPr="00761B17">
        <w:rPr>
          <w:rFonts w:ascii="Times New Roman" w:hAnsi="Times New Roman" w:cs="Times New Roman"/>
          <w:color w:val="000000"/>
          <w:sz w:val="26"/>
          <w:szCs w:val="26"/>
          <w:lang w:eastAsia="lv-LV"/>
        </w:rPr>
        <w:t xml:space="preserve"> </w:t>
      </w:r>
      <w:r w:rsidR="008133C9">
        <w:rPr>
          <w:rFonts w:ascii="Times New Roman" w:hAnsi="Times New Roman" w:cs="Times New Roman"/>
          <w:color w:val="000000"/>
          <w:sz w:val="26"/>
          <w:szCs w:val="26"/>
          <w:lang w:eastAsia="lv-LV"/>
        </w:rPr>
        <w:t xml:space="preserve">EUR </w:t>
      </w:r>
      <w:r w:rsidR="008C79DA">
        <w:rPr>
          <w:rFonts w:ascii="Times New Roman" w:hAnsi="Times New Roman" w:cs="Times New Roman"/>
          <w:color w:val="000000"/>
          <w:sz w:val="26"/>
          <w:szCs w:val="26"/>
          <w:lang w:eastAsia="ar-SA"/>
        </w:rPr>
        <w:t>&lt;summa skaitļos un vārdos&gt;</w:t>
      </w:r>
      <w:r w:rsidRPr="00761B17">
        <w:rPr>
          <w:rFonts w:ascii="Times New Roman" w:hAnsi="Times New Roman" w:cs="Times New Roman"/>
          <w:color w:val="000000"/>
          <w:sz w:val="26"/>
          <w:szCs w:val="26"/>
          <w:lang w:eastAsia="lv-LV"/>
        </w:rPr>
        <w:t xml:space="preserve"> bez PVN</w:t>
      </w:r>
      <w:r w:rsidRPr="00092402">
        <w:rPr>
          <w:rFonts w:ascii="Times New Roman" w:hAnsi="Times New Roman" w:cs="Times New Roman"/>
          <w:color w:val="000000"/>
          <w:sz w:val="26"/>
          <w:szCs w:val="26"/>
          <w:lang w:eastAsia="lv-LV"/>
        </w:rPr>
        <w:t xml:space="preserve"> </w:t>
      </w:r>
      <w:r w:rsidRPr="00761B17">
        <w:rPr>
          <w:rFonts w:ascii="Times New Roman" w:hAnsi="Times New Roman" w:cs="Times New Roman"/>
          <w:color w:val="000000"/>
          <w:sz w:val="26"/>
          <w:szCs w:val="26"/>
          <w:lang w:eastAsia="lv-LV"/>
        </w:rPr>
        <w:t>par epidemioloģiskās drošības pasākumu īstenošanu Covid-19 infekcijas izplatības ierobežošanai</w:t>
      </w:r>
      <w:r>
        <w:rPr>
          <w:rFonts w:ascii="Times New Roman" w:hAnsi="Times New Roman" w:cs="Times New Roman"/>
          <w:color w:val="000000"/>
          <w:sz w:val="26"/>
          <w:szCs w:val="26"/>
          <w:lang w:eastAsia="lv-LV"/>
        </w:rPr>
        <w:t xml:space="preserve">, </w:t>
      </w:r>
      <w:bookmarkStart w:id="2" w:name="_Hlk54161766"/>
      <w:bookmarkStart w:id="3" w:name="_Hlk54161935"/>
      <w:r>
        <w:rPr>
          <w:rFonts w:ascii="Times New Roman" w:hAnsi="Times New Roman" w:cs="Times New Roman"/>
          <w:color w:val="000000"/>
          <w:sz w:val="26"/>
          <w:szCs w:val="26"/>
          <w:lang w:eastAsia="lv-LV"/>
        </w:rPr>
        <w:t xml:space="preserve">tiek </w:t>
      </w:r>
      <w:r w:rsidR="008C79DA">
        <w:rPr>
          <w:rFonts w:ascii="Times New Roman" w:hAnsi="Times New Roman" w:cs="Times New Roman"/>
          <w:color w:val="000000"/>
          <w:sz w:val="26"/>
          <w:szCs w:val="26"/>
          <w:lang w:eastAsia="lv-LV"/>
        </w:rPr>
        <w:t>reizināta</w:t>
      </w:r>
      <w:r w:rsidRPr="00092402">
        <w:rPr>
          <w:rFonts w:ascii="Times New Roman" w:hAnsi="Times New Roman" w:cs="Times New Roman"/>
          <w:color w:val="000000"/>
          <w:sz w:val="26"/>
          <w:szCs w:val="26"/>
          <w:lang w:eastAsia="lv-LV"/>
        </w:rPr>
        <w:t xml:space="preserve"> ar attiecīgajā mēnesī faktiski izsniegto </w:t>
      </w:r>
      <w:bookmarkEnd w:id="2"/>
      <w:r w:rsidRPr="00092402">
        <w:rPr>
          <w:rFonts w:ascii="Times New Roman" w:hAnsi="Times New Roman" w:cs="Times New Roman"/>
          <w:color w:val="000000"/>
          <w:sz w:val="26"/>
          <w:szCs w:val="26"/>
          <w:lang w:eastAsia="lv-LV"/>
        </w:rPr>
        <w:t xml:space="preserve">porciju un sagatavoto </w:t>
      </w:r>
      <w:r>
        <w:rPr>
          <w:rFonts w:ascii="Times New Roman" w:hAnsi="Times New Roman" w:cs="Times New Roman"/>
          <w:color w:val="000000"/>
          <w:sz w:val="26"/>
          <w:szCs w:val="26"/>
          <w:lang w:eastAsia="lv-LV"/>
        </w:rPr>
        <w:t>pārtikas p</w:t>
      </w:r>
      <w:r w:rsidRPr="00092402">
        <w:rPr>
          <w:rFonts w:ascii="Times New Roman" w:hAnsi="Times New Roman" w:cs="Times New Roman"/>
          <w:color w:val="000000"/>
          <w:sz w:val="26"/>
          <w:szCs w:val="26"/>
          <w:lang w:eastAsia="lv-LV"/>
        </w:rPr>
        <w:t xml:space="preserve">aku </w:t>
      </w:r>
      <w:r>
        <w:rPr>
          <w:rFonts w:ascii="Times New Roman" w:hAnsi="Times New Roman" w:cs="Times New Roman"/>
          <w:color w:val="000000"/>
          <w:sz w:val="26"/>
          <w:szCs w:val="26"/>
          <w:lang w:eastAsia="lv-LV"/>
        </w:rPr>
        <w:t>skaitu</w:t>
      </w:r>
      <w:bookmarkEnd w:id="3"/>
      <w:r w:rsidRPr="00761B17">
        <w:rPr>
          <w:rFonts w:ascii="Times New Roman" w:hAnsi="Times New Roman" w:cs="Times New Roman"/>
          <w:color w:val="000000"/>
          <w:sz w:val="26"/>
          <w:szCs w:val="26"/>
          <w:lang w:eastAsia="lv-LV"/>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lastRenderedPageBreak/>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Ja tehniskajā specifikācijā iekļauta prasība nodrošināt izglītojamajiem arī citas ēdienreizes (brokastis, launagu vai vakariņas), sagatavot un saskaņot ar Skolas noteikto personu citu ēdienreižu ēdienkartes un tehnoloģiskās kartes.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Ne vēlāk kā 3 dienas iepriekš saskaņot ar Skolas atbildīgo personu katras nākamās nedēļas ēdienkarti un tai atbilstošas tehnoloģiskās kartes.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Skolas apstiprināto ēdienkarti izvietot izglītojamajiem, vecākiem un darbiniekiem pieejamā vietā (pie katras ēdiena izdales letes Skolas ēdnīcā, Skolas mājas lapā un/vai ziņojumu stendā).</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rsid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 Skolu vienojas, vai ēdiens tiek gatavots Skolas virtuves telpās vai arī ēdiens tiek gatavots ārpus Skolas virtuves telpām un atbilstoši Skolas prasībām tiek piegādāts uz Skolas telpām.</w:t>
      </w:r>
    </w:p>
    <w:p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lastRenderedPageBreak/>
        <w:t>Ēdiena piegāde tiek veikta, ievērojot šādas ēdiena piegādes pakalpojuma prasības:</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ēdienu līdz izsniegšanas brīdim uzglabāt temperatūrā, kas atbalst normatīvo aktu prasībām, tādā veidā, lai neveicinātu produkta mikrobioloģisko bojāšanos;</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ēdiena izsniegšanu saskaņā ar Skolas prasībām;</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atkritumu savākšanu Skolas telpās, izvešanu no Skolas telpām un atbilstošu apsaimniekošanu;</w:t>
      </w:r>
    </w:p>
    <w:p w:rsidR="00C542F3" w:rsidRPr="00C542F3"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atbildēt par ēdiena nekaitīgumu, izvērtēt visus drošības aspektus un riskus tehnoloģiskā procesa norises posmos, kā arī to, ka ēdiena piegādes pakalpojums tiks sniegts izglītības iestādes audzēkņiem.</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Iesniegt Skolai ēdināšanas pakalpojumam izmantoto galveno pārtikas pamatproduktu sarakstu, norādot produktu ražotāju vai audzētāju un to izcelsmes valsti.</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Iesniegt Skolai BL, NPKS, LPIA produktu ražotāju un audzētāju sarakstu, norādot to kontaktinformāciju, un ar ražotāju (audzētāju) noslēgtu līgumu par sadarbību ar attiecīgo piegādātāju katra konkrētā pārtikas produktu piegādes līguma izpildē.</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4"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5" w:name="_Hlk54162302"/>
      <w:bookmarkEnd w:id="4"/>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5"/>
      <w:r w:rsidRPr="006A5201">
        <w:rPr>
          <w:rFonts w:ascii="Times New Roman" w:hAnsi="Times New Roman" w:cs="Times New Roman"/>
          <w:color w:val="000000"/>
          <w:sz w:val="26"/>
          <w:szCs w:val="26"/>
          <w:lang w:eastAsia="lv-LV"/>
        </w:rPr>
        <w:t>.</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(Skolas) adresei.</w:t>
      </w:r>
    </w:p>
    <w:p w:rsidR="001E676A" w:rsidRPr="00717C21" w:rsidRDefault="00FB73B6"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w:t>
      </w:r>
      <w:r w:rsidR="001E676A" w:rsidRPr="00717C21">
        <w:rPr>
          <w:rFonts w:ascii="Times New Roman" w:hAnsi="Times New Roman" w:cs="Times New Roman"/>
          <w:color w:val="000000"/>
          <w:sz w:val="26"/>
          <w:szCs w:val="26"/>
          <w:lang w:eastAsia="lv-LV"/>
        </w:rPr>
        <w:t>ārtiku un dzērienus pasniegt, lietojot atkārtoti izmantojamus galda piederumus, traukus un galdautus vai no atjaunojamām izejvielām ražotus galda piederumus, traukus vai izbraukuma ēdināšanas piederumus.</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lastRenderedPageBreak/>
        <w:t>Sniedzot ēdināšanas pakalpojumus, dot priekšroku videi draudzīgām virtuves iekārtām:</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ledus</w:t>
      </w:r>
      <w:r w:rsidRPr="00717C21">
        <w:rPr>
          <w:rFonts w:ascii="Times New Roman" w:hAnsi="Times New Roman" w:cs="Times New Roman"/>
          <w:color w:val="000000"/>
          <w:sz w:val="26"/>
          <w:szCs w:val="26"/>
          <w:lang w:eastAsia="ar-SA"/>
        </w:rPr>
        <w:t>skapjiem un saldētavām, kuros nav ozona slāni noārdošās vielas (HCFC un HFC);</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Dot priekšroku produktiem lielākā iepakojumā vai tādā iepakojumā, kas ir videi draudzīgs vai kura lielākā daļa ir otrreizēji pārstrādājama, vai kura to pieņem atkārtotai izmantošanai.</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atbilstošu ēdināšanu gadījumos, kad izglītojamajam ir ārsta apstiprināta diagnoze (piemēram, celiakija, cukura diabēts, pārtikas alerģija), kuras dēļ ir nepieciešama uztura korekcija.</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dalību Latvijas Republikas un Eiropas Savienības atbalsta programmā skolu apgādei ar augļiem, dārzeņiem un pienu.</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veikt aptaujas un citus pasākumus saistībā ar pakalpojumu kvalitātes izvērtējumu, kā arī īstenot sadarbību ar Skolu, izglītojamajiem un izglītojamo vecākiem, lai uzlabotu pakalpojuma kvalitāti.</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Skolai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Bērnu tiesību aizsardzības likuma 72.pantu ir pieprasījis no Iekšlietu ministrijas Informācijas centra Sodu reģistra ziņas par personām (darbiniekiem), kuras strādā/-ās un sniegs ēdināšanas pakalpojumus Skolā, kā arī apņemas pēc iestādes pieprasījuma uzrādīt Soda reģistra izziņu.</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Veikt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(11.pielikums – līguma projekts);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virtuves telpu, palīgtelpu, iekārtu, inventāra un zemes nomas līgumu (12.pielikums – līguma projekts), ja netiek veikta ēdiena piegāde;</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līgumu par izglītojamo ēdināšanas pakalpojumiem, kuri saskaņā ar normatīvajiem aktiem tiek segti no valsts un pašvaldības budžetā paredzētajiem līdzekļiem;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atkritumu apsaimniekošanas pakalpojumu līgumu ar attiecīgo pakalpojumu sniedzēju;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Skolas sagatavoto rēķinu veic šādus maksājumus: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Ministru kabineta 17.09.2013. noteikumi Nr.890 „Higiēnas prasības bērnu uzraudzības pakalpojuma sniedzējiem un izglītības iestādēm, kas īsteno pirmsskolas izglītības programmu”;</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rsidR="001E676A" w:rsidRPr="00FE535D"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Izpildītājs Līguma izpildē ievēro šādas Pasūtītāja papildus prasības:</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Izpildītājs ievēro Skolas noteikto kārtību un pamatprincipus attiecībā uz informēšanu, distancēšanos, higiēnas, personas veselības stāvokļa uzraudzību, tai skaitā par ēdināšanas organizēšanu, izglītojamo plūsmas organizēšanu un kontroli, ievērojot šādus nosacījumus:</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Izpildītājs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viena klase tiek uztverta kā noslēgta kopa;</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Skolas deleģēta persona (vai personas) uzrauga klašu plūsmu nekrustošanos pie izlietnēm un ēdamzālē;</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Izpildītājs izvieto vizuālas distancēšanās norādes, piemēram, bultas vai līnijas uz grīdas;</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 ēdienu (komplekso pusdienu) saņemšana notiek kādā no šiem veidiem: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ēdiens jau ir uzlikts uz katras klases kopgalda  - zupas, salāti, mērces, piedevas var būt servētas koptraukos, pamatēdieni – porcionēti uz šķīvjiem vai arī koptraukos; galda piederumi novietoti galda piederumu turētājā uz galda; katrs izglītojamais pie galda pašapkalpojas vai ēdienu uz šķīvja palīdz uzlikt skolotājs; pēc tam, kad viena klase paēdusi, Izpildītājs notīra, dezinficē galdu; šāds ēdienu saņemšanas veids piemērots 1.- 6.klašu izglītojamiem;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ēdienu uzliek izglītojamie paši pie sadales līnijas (bufetes veida galds) – ēdiens ir salikts koptraukos (marmītos); šķīvji un galda piederumi (galda piederumu turētājā) novietoti sadales līnijas galos; katrs izglītojamais pašapkalpojas – paņem šķīvi uz uzliek ēdienu, paņem galda piederumus, tad dodas paēst pie savas klases galda; pēc tam, kad viena klase pašapkalpojusies, tad Izpildītājs nomaina koplietošanas galda piederumus (kausus, dakšas, karotes, stangas u.c.), notīra sadales galdu, uzliek tīrus šķīvjus un galda piederumus nākošajai klasei; šāds ēdienu saņemšanas veids piemērots 7.-12.klašu izglītojamiem;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ēdienu izglītojamie saņem pie sadales letes – to jau porcionētu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attālinātā (vai daļēji attālinātā) izglītības procesa īstenošanas laikā</w:t>
      </w:r>
      <w:r w:rsidRPr="00FE535D">
        <w:rPr>
          <w:rFonts w:ascii="Times New Roman" w:hAnsi="Times New Roman" w:cs="Times New Roman"/>
          <w:color w:val="000000"/>
          <w:sz w:val="26"/>
          <w:szCs w:val="24"/>
          <w:lang w:eastAsia="ar-SA"/>
        </w:rPr>
        <w:t>, Izpildītājs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FE535D">
        <w:rPr>
          <w:rFonts w:ascii="Times New Roman" w:hAnsi="Times New Roman" w:cs="Times New Roman"/>
          <w:color w:val="000000"/>
          <w:sz w:val="26"/>
          <w:szCs w:val="24"/>
          <w:lang w:eastAsia="ar-SA"/>
        </w:rPr>
        <w:footnoteReference w:id="1"/>
      </w:r>
      <w:r w:rsidRPr="00FE535D">
        <w:rPr>
          <w:rFonts w:ascii="Times New Roman" w:hAnsi="Times New Roman" w:cs="Times New Roman"/>
          <w:color w:val="000000"/>
          <w:sz w:val="26"/>
          <w:szCs w:val="24"/>
          <w:lang w:eastAsia="ar-SA"/>
        </w:rPr>
        <w:t xml:space="preserve"> un Rīgas domes Izglītības, kultūras un sporta departamenta ieteikumiem (skat. paraugu Nolikuma 3.pielikumā), kā arī Skolas prasībām; </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ja objektīvu, no Izpildītāja neatkarīgu iemeslu dēļ produktu klāstā nepieciešamas  izmaiņas, saskaņot ar Pasūtītāju izmaiņas, aizstājot saskaņoto produktu ar līdzvērtīgu produktu;</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gadījumā, kad izglītojamajam ir ārsta apstiprināta diagnoze (piemēram, celiakija, cukura diabēts, pārtikas alerģija), kuras dēļ ir nepieciešama uztura korekcija, pēc iespējas nodrošināt attiecīgo produktu alternatīvas;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svars nepārsniedz 4 – 5 kg;</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iepakojums atbilstošs normatīvo aktu prasībām un svaram;</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uz Pakas iepakojuma pieejama informācija par tajā iekļautajiem pārtikas produktiem un to derīgumu termiņu;</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atbilst NPKS, BL,LPIA prasībām;</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rsidR="001E676A" w:rsidRPr="00FE535D" w:rsidRDefault="001E676A" w:rsidP="001E676A">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00B352DC" w:rsidRPr="006D2D48">
        <w:rPr>
          <w:rFonts w:ascii="Times New Roman" w:hAnsi="Times New Roman" w:cs="Times New Roman"/>
          <w:color w:val="000000"/>
          <w:sz w:val="26"/>
        </w:rPr>
        <w:t xml:space="preserve">ne </w:t>
      </w:r>
      <w:r w:rsidR="00B352DC"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00B352DC"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a daļā visā līguma darbības laikā jābūt ne mazākam kā 100 tūkstoši euro), iesniedzot apdrošināšanas polisi, kā arī dokumentu, kas apliecina apdrošināšanas prēmijas apmaksu;</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snie</w:t>
      </w:r>
      <w:r>
        <w:rPr>
          <w:rFonts w:ascii="Times New Roman" w:hAnsi="Times New Roman" w:cs="Times New Roman"/>
          <w:color w:val="000000"/>
          <w:sz w:val="26"/>
          <w:szCs w:val="26"/>
          <w:lang w:eastAsia="lv-LV"/>
        </w:rPr>
        <w:t xml:space="preserve">dz </w:t>
      </w:r>
      <w:r w:rsidR="00B352DC"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nekavējoties paziņo Pasūtītājiem par šķēršļiem, kuri var ietekmēt šī līguma nosacījumu un Pakalpojuma izpildi;</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nepieļau</w:t>
      </w:r>
      <w:r>
        <w:rPr>
          <w:rFonts w:ascii="Times New Roman" w:hAnsi="Times New Roman" w:cs="Times New Roman"/>
          <w:color w:val="000000"/>
          <w:sz w:val="26"/>
          <w:szCs w:val="26"/>
          <w:lang w:eastAsia="lv-LV"/>
        </w:rPr>
        <w:t>j</w:t>
      </w:r>
      <w:r w:rsidR="00B352DC" w:rsidRPr="00B86E61">
        <w:rPr>
          <w:rFonts w:ascii="Times New Roman" w:hAnsi="Times New Roman" w:cs="Times New Roman"/>
          <w:color w:val="000000"/>
          <w:sz w:val="26"/>
          <w:szCs w:val="26"/>
          <w:lang w:eastAsia="lv-LV"/>
        </w:rPr>
        <w:t xml:space="preserve"> nepiederošu personu uzturēšanos telpās, kuras saistītas ar Pakalpojuma izpildi;</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nodrošin</w:t>
      </w:r>
      <w:r>
        <w:rPr>
          <w:rFonts w:ascii="Times New Roman" w:hAnsi="Times New Roman" w:cs="Times New Roman"/>
          <w:color w:val="000000"/>
          <w:sz w:val="26"/>
          <w:szCs w:val="26"/>
          <w:lang w:eastAsia="lv-LV"/>
        </w:rPr>
        <w:t>a</w:t>
      </w:r>
      <w:r w:rsidR="00B352DC"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pil</w:t>
      </w:r>
      <w:r>
        <w:rPr>
          <w:rFonts w:ascii="Times New Roman" w:hAnsi="Times New Roman" w:cs="Times New Roman"/>
          <w:color w:val="000000"/>
          <w:sz w:val="26"/>
          <w:szCs w:val="26"/>
          <w:lang w:eastAsia="lv-LV"/>
        </w:rPr>
        <w:t>da</w:t>
      </w:r>
      <w:r w:rsidR="00B352DC"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00F23C74" w:rsidRPr="00B86E61">
        <w:rPr>
          <w:rFonts w:ascii="Times New Roman" w:hAnsi="Times New Roman" w:cs="Times New Roman"/>
          <w:color w:val="000000"/>
          <w:sz w:val="26"/>
          <w:szCs w:val="26"/>
          <w:lang w:eastAsia="lv-LV"/>
        </w:rPr>
        <w:t>Iepirkuma</w:t>
      </w:r>
      <w:r w:rsidR="00B352DC" w:rsidRPr="00B86E61">
        <w:rPr>
          <w:rFonts w:ascii="Times New Roman" w:hAnsi="Times New Roman" w:cs="Times New Roman"/>
          <w:color w:val="000000"/>
          <w:sz w:val="26"/>
          <w:szCs w:val="26"/>
          <w:lang w:eastAsia="lv-LV"/>
        </w:rPr>
        <w:t xml:space="preserve"> tehnisko specifikāciju, Izpildītāja piedāvājumu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ā un līguma noteikumiem, kā arī normatīvajiem aktiem</w:t>
      </w:r>
      <w:r w:rsidR="00B352DC" w:rsidRPr="00D24D95">
        <w:rPr>
          <w:rFonts w:ascii="Times New Roman" w:hAnsi="Times New Roman" w:cs="Times New Roman"/>
          <w:color w:val="000000"/>
          <w:sz w:val="26"/>
          <w:szCs w:val="26"/>
          <w:lang w:eastAsia="lv-LV"/>
        </w:rPr>
        <w:t>.</w:t>
      </w:r>
    </w:p>
    <w:p w:rsidR="00B352DC"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9808E4" w:rsidRPr="00D24D95" w:rsidRDefault="009808E4"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r w:rsidR="00262955">
        <w:rPr>
          <w:rFonts w:ascii="Times New Roman" w:hAnsi="Times New Roman" w:cs="Times New Roman"/>
          <w:color w:val="000000"/>
          <w:sz w:val="26"/>
        </w:rPr>
        <w:t>;</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saskaņot Izpildītāja sagatavoto nākamās nedēļas Pakas pārtikas preču sortimentu ne vēlāk kā 3 darbdienas pirms izsniegšanas;</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informācija par Skolas apstiprināto Paku sortimentu izvietota izglītojamajiem, vecākiem un darbiniekiem pieejamā vietā (nosūtot informāciju izglītojamajiem un vecākiem Skolas e-pastā vai publicējot Skolas mājas lapā, vai izvietojot ziņojumu stendā);</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ne vēlāk kā 3 darbdienas pirms izsniegšanas veikt izglītojamo vai izglītojamo vecāku aptaujas, lai noskaidrotu attālinātā izglītības procesa laikā nepieciešamo Paku skaitu, un informēt par to Izpildītāju.</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26295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rsidR="00B352DC" w:rsidRPr="00C50263" w:rsidRDefault="00B352DC" w:rsidP="00C5026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jebkurā laikā ierasties Pakalpojuma sniegšanas vietā, lai veiktu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C50263">
        <w:rPr>
          <w:rFonts w:ascii="Times New Roman" w:hAnsi="Times New Roman" w:cs="Times New Roman"/>
          <w:color w:val="000000"/>
          <w:sz w:val="26"/>
        </w:rPr>
        <w:t xml:space="preserve">BL, NPKS, LPIA produkti </w:t>
      </w:r>
      <w:r w:rsidRPr="00C50263">
        <w:rPr>
          <w:rFonts w:ascii="Times New Roman" w:hAnsi="Times New Roman" w:cs="Times New Roman"/>
          <w:color w:val="000000"/>
          <w:sz w:val="26"/>
        </w:rPr>
        <w:t xml:space="preserve">saskaņā ar </w:t>
      </w:r>
      <w:r w:rsidR="00545F6F" w:rsidRPr="00C50263">
        <w:rPr>
          <w:rFonts w:ascii="Times New Roman" w:hAnsi="Times New Roman" w:cs="Times New Roman"/>
          <w:color w:val="000000"/>
          <w:sz w:val="26"/>
        </w:rPr>
        <w:t>Iepirkum</w:t>
      </w:r>
      <w:r w:rsidRPr="00C50263">
        <w:rPr>
          <w:rFonts w:ascii="Times New Roman" w:hAnsi="Times New Roman" w:cs="Times New Roman"/>
          <w:color w:val="000000"/>
          <w:sz w:val="26"/>
        </w:rPr>
        <w:t>ā iesniegto tehnisko piedāvājumu;</w:t>
      </w:r>
    </w:p>
    <w:p w:rsidR="00C50263" w:rsidRPr="00037D67" w:rsidRDefault="00B352DC" w:rsidP="00037D67">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īguma nosac</w:t>
      </w:r>
      <w:r w:rsidR="00CE4510" w:rsidRPr="00C50263">
        <w:rPr>
          <w:rFonts w:ascii="Times New Roman" w:hAnsi="Times New Roman" w:cs="Times New Roman"/>
          <w:color w:val="000000"/>
          <w:sz w:val="26"/>
        </w:rPr>
        <w:t>ījumu iespējamajiem pārkāpumie</w:t>
      </w:r>
      <w:r w:rsidR="00CE4510" w:rsidRPr="00037D67">
        <w:rPr>
          <w:rFonts w:ascii="Times New Roman" w:hAnsi="Times New Roman" w:cs="Times New Roman"/>
          <w:color w:val="000000"/>
          <w:sz w:val="26"/>
        </w:rPr>
        <w:t>m</w:t>
      </w:r>
      <w:r w:rsidR="00C50263" w:rsidRPr="00037D67">
        <w:rPr>
          <w:rFonts w:ascii="Times New Roman" w:hAnsi="Times New Roman" w:cs="Times New Roman"/>
          <w:color w:val="000000"/>
          <w:sz w:val="26"/>
          <w:szCs w:val="26"/>
          <w:lang w:eastAsia="ar-SA"/>
        </w:rPr>
        <w:t xml:space="preserve">. </w:t>
      </w:r>
    </w:p>
    <w:p w:rsidR="00B352DC" w:rsidRPr="00C50263"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 xml:space="preserve">Pakalpojuma neatbilstību </w:t>
      </w:r>
      <w:r w:rsidR="00CE4510" w:rsidRPr="00C50263">
        <w:rPr>
          <w:rFonts w:ascii="Times New Roman" w:hAnsi="Times New Roman" w:cs="Times New Roman"/>
          <w:color w:val="000000"/>
          <w:sz w:val="26"/>
          <w:szCs w:val="26"/>
          <w:lang w:eastAsia="ar-SA"/>
        </w:rPr>
        <w:t>L</w:t>
      </w:r>
      <w:r w:rsidRPr="00C50263">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w:t>
      </w:r>
      <w:r w:rsidR="00CE4510" w:rsidRPr="00262955">
        <w:rPr>
          <w:rFonts w:ascii="Times New Roman" w:hAnsi="Times New Roman" w:cs="Times New Roman"/>
          <w:color w:val="000000"/>
          <w:sz w:val="26"/>
          <w:szCs w:val="26"/>
          <w:lang w:eastAsia="ar-SA"/>
        </w:rPr>
        <w:t>rasīt no Izpildītāja pienācīgu L</w:t>
      </w:r>
      <w:r w:rsidRPr="00262955">
        <w:rPr>
          <w:rFonts w:ascii="Times New Roman" w:hAnsi="Times New Roman" w:cs="Times New Roman"/>
          <w:color w:val="000000"/>
          <w:sz w:val="26"/>
          <w:szCs w:val="26"/>
          <w:lang w:eastAsia="ar-SA"/>
        </w:rPr>
        <w:t>īguma turpmāku izpildi un līgumsodu šādā apmērā:</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Izpildītājs ēdienu gatavošanā izmanto </w:t>
      </w:r>
      <w:r w:rsidR="00717C21" w:rsidRPr="00717C21">
        <w:rPr>
          <w:rFonts w:ascii="Times New Roman" w:hAnsi="Times New Roman" w:cs="Times New Roman"/>
          <w:color w:val="000000"/>
          <w:sz w:val="26"/>
          <w:szCs w:val="26"/>
          <w:lang w:eastAsia="lv-LV"/>
        </w:rPr>
        <w:t>Iepirkuma tehniskajā piedāvājumā norādītos produktus</w:t>
      </w:r>
      <w:r w:rsidR="00717C21">
        <w:rPr>
          <w:rFonts w:ascii="Times New Roman" w:hAnsi="Times New Roman" w:cs="Times New Roman"/>
          <w:color w:val="000000"/>
          <w:sz w:val="26"/>
          <w:szCs w:val="26"/>
          <w:lang w:eastAsia="lv-LV"/>
        </w:rPr>
        <w:t xml:space="preserve">, kas neatbilst </w:t>
      </w:r>
      <w:r w:rsidR="00717C21" w:rsidRPr="00717C21">
        <w:rPr>
          <w:rFonts w:ascii="Times New Roman" w:hAnsi="Times New Roman" w:cs="Times New Roman"/>
          <w:color w:val="000000"/>
          <w:sz w:val="26"/>
          <w:szCs w:val="26"/>
          <w:lang w:eastAsia="lv-LV"/>
        </w:rPr>
        <w:t xml:space="preserve">BL, NPKS, LPIA </w:t>
      </w:r>
      <w:r w:rsidR="00717C21">
        <w:rPr>
          <w:rFonts w:ascii="Times New Roman" w:hAnsi="Times New Roman" w:cs="Times New Roman"/>
          <w:color w:val="000000"/>
          <w:sz w:val="26"/>
          <w:szCs w:val="26"/>
          <w:lang w:eastAsia="lv-LV"/>
        </w:rPr>
        <w:t>prasībām</w:t>
      </w:r>
      <w:r w:rsidR="00CE4510" w:rsidRPr="00262955">
        <w:rPr>
          <w:rFonts w:ascii="Times New Roman" w:hAnsi="Times New Roman" w:cs="Times New Roman"/>
          <w:color w:val="000000"/>
          <w:sz w:val="26"/>
        </w:rPr>
        <w:t xml:space="preserve">, </w:t>
      </w:r>
      <w:r w:rsidRPr="00262955">
        <w:rPr>
          <w:rFonts w:ascii="Times New Roman" w:hAnsi="Times New Roman" w:cs="Times New Roman"/>
          <w:color w:val="000000"/>
          <w:sz w:val="26"/>
        </w:rPr>
        <w:t>ko apliecina kontrolējošās institūcijas dokuments vai Pasūtītāja sastādīts akts, kuru paraksta vismaz divas Pasūtītāja pilnvarotās personas un Izpildītāja pārstāvis;</w:t>
      </w:r>
    </w:p>
    <w:p w:rsidR="00B352DC"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Izpildītāja darbībā ir konstatēts normatīvo aktu pārkāpums, ko apliecina </w:t>
      </w:r>
      <w:r w:rsidR="005A761D" w:rsidRPr="00262955">
        <w:rPr>
          <w:rFonts w:ascii="Times New Roman" w:hAnsi="Times New Roman" w:cs="Times New Roman"/>
          <w:color w:val="000000"/>
          <w:sz w:val="26"/>
        </w:rPr>
        <w:t>kontrolējošās institūcijas dokuments vai Pasūtītāja sastādīts akts, kuru paraksta vismaz divas Pasūtītāja pilnvarotās personas un Izpildītāja pārstāvis</w:t>
      </w:r>
      <w:r w:rsidRPr="00262955">
        <w:rPr>
          <w:rFonts w:ascii="Times New Roman" w:hAnsi="Times New Roman" w:cs="Times New Roman"/>
          <w:color w:val="000000"/>
          <w:sz w:val="26"/>
        </w:rPr>
        <w:t>;</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262955">
        <w:rPr>
          <w:rFonts w:ascii="Times New Roman" w:hAnsi="Times New Roman" w:cs="Times New Roman"/>
          <w:color w:val="000000"/>
          <w:sz w:val="26"/>
        </w:rPr>
        <w:t>1 % apmērā no šī līguma 3.</w:t>
      </w:r>
      <w:r w:rsidR="00CE4510" w:rsidRPr="00262955">
        <w:rPr>
          <w:rFonts w:ascii="Times New Roman" w:hAnsi="Times New Roman" w:cs="Times New Roman"/>
          <w:color w:val="000000"/>
          <w:sz w:val="26"/>
        </w:rPr>
        <w:t>2</w:t>
      </w:r>
      <w:r w:rsidRPr="00262955">
        <w:rPr>
          <w:rFonts w:ascii="Times New Roman" w:hAnsi="Times New Roman" w:cs="Times New Roman"/>
          <w:color w:val="000000"/>
          <w:sz w:val="26"/>
        </w:rPr>
        <w:t>.punktā minētās līgumcenas, ja saskaņā ar kontrolējošo institūciju rīkojuma dokumentiem</w:t>
      </w:r>
      <w:r w:rsidRPr="00262955">
        <w:rPr>
          <w:rFonts w:ascii="Times New Roman" w:hAnsi="Times New Roman" w:cs="Times New Roman"/>
          <w:color w:val="000000"/>
          <w:sz w:val="26"/>
          <w:szCs w:val="26"/>
          <w:lang w:eastAsia="ar-SA"/>
        </w:rPr>
        <w:t xml:space="preserve"> Izpildītāja darbība ir apturēta normatīvo aktu pārkāpuma dēļ.</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Pasūtītājs</w:t>
      </w:r>
      <w:r w:rsidRPr="00262955">
        <w:rPr>
          <w:rFonts w:ascii="Times New Roman" w:hAnsi="Times New Roman" w:cs="Times New Roman"/>
          <w:color w:val="000000"/>
          <w:sz w:val="26"/>
          <w:szCs w:val="26"/>
          <w:lang w:eastAsia="ar-SA"/>
        </w:rPr>
        <w:t xml:space="preserve"> var prasīt līgumsodu 10 % apmērā no šī līguma 3.</w:t>
      </w:r>
      <w:r w:rsidR="00CE4510" w:rsidRPr="00262955">
        <w:rPr>
          <w:rFonts w:ascii="Times New Roman" w:hAnsi="Times New Roman" w:cs="Times New Roman"/>
          <w:color w:val="000000"/>
          <w:sz w:val="26"/>
          <w:szCs w:val="26"/>
          <w:lang w:eastAsia="ar-SA"/>
        </w:rPr>
        <w:t>2</w:t>
      </w:r>
      <w:r w:rsidRPr="00262955">
        <w:rPr>
          <w:rFonts w:ascii="Times New Roman" w:hAnsi="Times New Roman" w:cs="Times New Roman"/>
          <w:color w:val="000000"/>
          <w:sz w:val="26"/>
          <w:szCs w:val="26"/>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w:t>
      </w:r>
      <w:r w:rsidRPr="00F23C74">
        <w:rPr>
          <w:rFonts w:ascii="Times New Roman" w:hAnsi="Times New Roman" w:cs="Times New Roman"/>
          <w:color w:val="000000"/>
          <w:sz w:val="26"/>
          <w:szCs w:val="26"/>
          <w:lang w:eastAsia="ar-SA"/>
        </w:rPr>
        <w:lastRenderedPageBreak/>
        <w:t xml:space="preserve">noslēgšanas, ja Puse par šādu apstākļu iestāšanos ir informējusi otru Pusi 24 (divdesmit četru) stundu laikā no šādu apstākļu rašanās brīža. </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00B352DC" w:rsidRPr="00F23C74">
        <w:rPr>
          <w:rFonts w:ascii="Times New Roman" w:hAnsi="Times New Roman" w:cs="Times New Roman"/>
          <w:color w:val="000000"/>
          <w:sz w:val="26"/>
          <w:szCs w:val="26"/>
          <w:lang w:eastAsia="ar-SA"/>
        </w:rPr>
        <w:t xml:space="preserve">.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317F89">
        <w:rPr>
          <w:rFonts w:ascii="Times New Roman" w:hAnsi="Times New Roman" w:cs="Times New Roman"/>
          <w:color w:val="000000"/>
          <w:sz w:val="26"/>
          <w:szCs w:val="26"/>
          <w:lang w:eastAsia="ar-SA"/>
        </w:rPr>
        <w:t>Iepirkum</w:t>
      </w:r>
      <w:r w:rsidRPr="00317F89">
        <w:rPr>
          <w:rFonts w:ascii="Times New Roman" w:hAnsi="Times New Roman" w:cs="Times New Roman"/>
          <w:color w:val="000000"/>
          <w:sz w:val="26"/>
          <w:szCs w:val="26"/>
          <w:lang w:eastAsia="ar-SA"/>
        </w:rPr>
        <w:t>a daļā visā līguma darbības laikā jābūt ne mazākam kā 100 tūkstoši euro)</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rsidR="00B352DC" w:rsidRPr="00317F89"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Jebkuri L</w:t>
      </w:r>
      <w:r w:rsidR="00B352DC" w:rsidRPr="00317F89">
        <w:rPr>
          <w:rFonts w:ascii="Times New Roman" w:hAnsi="Times New Roman" w:cs="Times New Roman"/>
          <w:color w:val="000000"/>
          <w:sz w:val="26"/>
          <w:szCs w:val="26"/>
          <w:lang w:eastAsia="ar-SA"/>
        </w:rPr>
        <w:t>īguma grozījumi vai papildinājumi tiek noform</w:t>
      </w:r>
      <w:r w:rsidRPr="00317F89">
        <w:rPr>
          <w:rFonts w:ascii="Times New Roman" w:hAnsi="Times New Roman" w:cs="Times New Roman"/>
          <w:color w:val="000000"/>
          <w:sz w:val="26"/>
          <w:szCs w:val="26"/>
          <w:lang w:eastAsia="ar-SA"/>
        </w:rPr>
        <w:t>ēti rakstveidā un kļūst par L</w:t>
      </w:r>
      <w:r w:rsidR="00B352DC" w:rsidRPr="00317F89">
        <w:rPr>
          <w:rFonts w:ascii="Times New Roman" w:hAnsi="Times New Roman" w:cs="Times New Roman"/>
          <w:color w:val="000000"/>
          <w:sz w:val="26"/>
          <w:szCs w:val="26"/>
          <w:lang w:eastAsia="ar-SA"/>
        </w:rPr>
        <w:t xml:space="preserve">īguma neatņemamu sastāvdaļu.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sidRPr="00317F89">
        <w:rPr>
          <w:rFonts w:ascii="Times New Roman" w:hAnsi="Times New Roman" w:cs="Times New Roman"/>
          <w:color w:val="000000"/>
          <w:sz w:val="26"/>
          <w:szCs w:val="26"/>
          <w:lang w:eastAsia="ar-SA"/>
        </w:rPr>
        <w:t>ir tiesības vienpusēji izbeigt L</w:t>
      </w:r>
      <w:r w:rsidRPr="00317F89">
        <w:rPr>
          <w:rFonts w:ascii="Times New Roman" w:hAnsi="Times New Roman" w:cs="Times New Roman"/>
          <w:color w:val="000000"/>
          <w:sz w:val="26"/>
          <w:szCs w:val="26"/>
          <w:lang w:eastAsia="ar-SA"/>
        </w:rPr>
        <w:t>īguma d</w:t>
      </w:r>
      <w:r w:rsidR="00E7438E" w:rsidRPr="00317F89">
        <w:rPr>
          <w:rFonts w:ascii="Times New Roman" w:hAnsi="Times New Roman" w:cs="Times New Roman"/>
          <w:color w:val="000000"/>
          <w:sz w:val="26"/>
          <w:szCs w:val="26"/>
          <w:lang w:eastAsia="ar-SA"/>
        </w:rPr>
        <w:t>arbību, nosūtot paziņojumu par L</w:t>
      </w:r>
      <w:r w:rsidRPr="00317F89">
        <w:rPr>
          <w:rFonts w:ascii="Times New Roman" w:hAnsi="Times New Roman" w:cs="Times New Roman"/>
          <w:color w:val="000000"/>
          <w:sz w:val="26"/>
          <w:szCs w:val="26"/>
          <w:lang w:eastAsia="ar-SA"/>
        </w:rPr>
        <w:t xml:space="preserve">īguma izbeigšanu.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sidR="00E7438E">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sidR="00E7438E">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rsidR="00644A8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lastRenderedPageBreak/>
        <w:t xml:space="preserve">Pasūtītājam ir tiesības vienpusēji atkāpties no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neatlīdzinot Izpildītājam ar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pirmstermiņa izbeigšanu saistītos zaudējumus un neiegūto peļņu, par to rakstveidā brīdinot Izpildītāju vismaz </w:t>
      </w:r>
      <w:r w:rsidR="00644A84" w:rsidRPr="00317F89">
        <w:rPr>
          <w:rFonts w:ascii="Times New Roman" w:hAnsi="Times New Roman" w:cs="Times New Roman"/>
          <w:color w:val="000000"/>
          <w:sz w:val="26"/>
          <w:szCs w:val="26"/>
          <w:lang w:eastAsia="ar-SA"/>
        </w:rPr>
        <w:t>1 mēnesi</w:t>
      </w:r>
      <w:r w:rsidRPr="00317F89">
        <w:rPr>
          <w:rFonts w:ascii="Times New Roman" w:hAnsi="Times New Roman" w:cs="Times New Roman"/>
          <w:color w:val="000000"/>
          <w:sz w:val="26"/>
          <w:szCs w:val="26"/>
          <w:lang w:eastAsia="ar-SA"/>
        </w:rPr>
        <w:t xml:space="preserve"> iepriekš, ja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īguma izpilde kļūst neiespējama no Pasūtītāja neatkarīgu ārēju apstākļu, t.sk., valsts v</w:t>
      </w:r>
      <w:r w:rsidR="00644A84" w:rsidRPr="00317F89">
        <w:rPr>
          <w:rFonts w:ascii="Times New Roman" w:hAnsi="Times New Roman" w:cs="Times New Roman"/>
          <w:color w:val="000000"/>
          <w:sz w:val="26"/>
          <w:szCs w:val="26"/>
          <w:lang w:eastAsia="ar-SA"/>
        </w:rPr>
        <w:t>ai pašvaldības lēmumu rezultātā.</w:t>
      </w:r>
    </w:p>
    <w:p w:rsidR="0057798D" w:rsidRPr="0057798D" w:rsidRDefault="0057798D" w:rsidP="0057798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w:t>
      </w:r>
      <w:r w:rsidR="00B352DC" w:rsidRPr="00317F89">
        <w:rPr>
          <w:rFonts w:ascii="Times New Roman" w:hAnsi="Times New Roman" w:cs="Times New Roman"/>
          <w:color w:val="000000"/>
          <w:sz w:val="26"/>
          <w:szCs w:val="26"/>
          <w:lang w:eastAsia="ar-SA"/>
        </w:rPr>
        <w:t>īguma</w:t>
      </w:r>
      <w:r w:rsidR="00B352DC"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4D74AD" w:rsidRDefault="00E7438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w:t>
      </w:r>
      <w:r w:rsidR="00B352DC" w:rsidRPr="004D74AD">
        <w:rPr>
          <w:rFonts w:ascii="Times New Roman" w:hAnsi="Times New Roman" w:cs="Times New Roman"/>
          <w:color w:val="000000"/>
          <w:sz w:val="26"/>
          <w:szCs w:val="26"/>
          <w:lang w:eastAsia="ar-SA"/>
        </w:rPr>
        <w:t>īguma noteikumu izpildes kontrolei – Puses pilnvaro sekojošus pārstāvjus:</w:t>
      </w:r>
    </w:p>
    <w:p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szCs w:val="26"/>
          <w:lang w:eastAsia="ar-SA"/>
        </w:rPr>
        <w:t xml:space="preserve">no Izpildītāja puses </w:t>
      </w:r>
      <w:r w:rsidR="005E2AA9" w:rsidRPr="004D74AD">
        <w:rPr>
          <w:rFonts w:ascii="Times New Roman" w:hAnsi="Times New Roman" w:cs="Times New Roman"/>
          <w:color w:val="000000"/>
          <w:sz w:val="26"/>
          <w:szCs w:val="26"/>
          <w:lang w:eastAsia="ar-SA"/>
        </w:rPr>
        <w:t>&lt;</w:t>
      </w:r>
      <w:r w:rsidRPr="004D74AD">
        <w:rPr>
          <w:rFonts w:ascii="Times New Roman" w:hAnsi="Times New Roman" w:cs="Times New Roman"/>
          <w:color w:val="000000"/>
          <w:sz w:val="26"/>
          <w:szCs w:val="26"/>
          <w:lang w:eastAsia="ar-SA"/>
        </w:rPr>
        <w:t>amats</w:t>
      </w:r>
      <w:r w:rsidRPr="004D74AD">
        <w:rPr>
          <w:rFonts w:ascii="Times New Roman" w:hAnsi="Times New Roman" w:cs="Times New Roman"/>
          <w:color w:val="000000"/>
          <w:sz w:val="26"/>
        </w:rPr>
        <w:t xml:space="preserve">, vārds, uzvārds, </w:t>
      </w:r>
      <w:r w:rsidR="005E2AA9" w:rsidRPr="004D74AD">
        <w:rPr>
          <w:rFonts w:ascii="Times New Roman" w:hAnsi="Times New Roman" w:cs="Times New Roman"/>
          <w:color w:val="000000"/>
          <w:sz w:val="26"/>
        </w:rPr>
        <w:t>e-pasta adrese, tālruņa Nr.</w:t>
      </w:r>
      <w:r w:rsidRPr="004D74AD">
        <w:rPr>
          <w:rFonts w:ascii="Times New Roman" w:hAnsi="Times New Roman" w:cs="Times New Roman"/>
          <w:color w:val="000000"/>
          <w:sz w:val="26"/>
        </w:rPr>
        <w:t>&gt;;</w:t>
      </w:r>
    </w:p>
    <w:p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rPr>
        <w:t xml:space="preserve">no Pasūtītāja puses </w:t>
      </w:r>
      <w:r w:rsidR="005E2AA9" w:rsidRPr="004D74AD">
        <w:rPr>
          <w:rFonts w:ascii="Times New Roman" w:hAnsi="Times New Roman" w:cs="Times New Roman"/>
          <w:color w:val="000000"/>
          <w:sz w:val="26"/>
        </w:rPr>
        <w:t>&lt;</w:t>
      </w:r>
      <w:r w:rsidRPr="004D74AD">
        <w:rPr>
          <w:rFonts w:ascii="Times New Roman" w:hAnsi="Times New Roman" w:cs="Times New Roman"/>
          <w:color w:val="000000"/>
          <w:sz w:val="26"/>
        </w:rPr>
        <w:t>amats, vārds, uzvār</w:t>
      </w:r>
      <w:r w:rsidR="005E2AA9" w:rsidRPr="004D74AD">
        <w:rPr>
          <w:rFonts w:ascii="Times New Roman" w:hAnsi="Times New Roman" w:cs="Times New Roman"/>
          <w:color w:val="000000"/>
          <w:sz w:val="26"/>
        </w:rPr>
        <w:t>ds, e-pasta adrese, tālruņa Nr.</w:t>
      </w:r>
      <w:r w:rsidRPr="004D74AD">
        <w:rPr>
          <w:rFonts w:ascii="Times New Roman" w:hAnsi="Times New Roman" w:cs="Times New Roman"/>
          <w:color w:val="000000"/>
          <w:sz w:val="26"/>
        </w:rPr>
        <w:t>&gt;.</w:t>
      </w:r>
    </w:p>
    <w:p w:rsidR="00B352DC" w:rsidRPr="004D74AD" w:rsidRDefault="00B352DC"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Līgums sagatavots 2 (divos) eksemplāros uz __ (__) lapām, un tiem ir vienāds juridisks spēks. Pie</w:t>
      </w:r>
      <w:r w:rsidR="00E7438E" w:rsidRPr="004D74AD">
        <w:rPr>
          <w:rFonts w:ascii="Times New Roman" w:hAnsi="Times New Roman" w:cs="Times New Roman"/>
          <w:color w:val="000000"/>
          <w:sz w:val="26"/>
          <w:szCs w:val="26"/>
          <w:lang w:eastAsia="ar-SA"/>
        </w:rPr>
        <w:t xml:space="preserve"> katras no Pusēm atrodas viens L</w:t>
      </w:r>
      <w:r w:rsidRPr="004D74AD">
        <w:rPr>
          <w:rFonts w:ascii="Times New Roman" w:hAnsi="Times New Roman" w:cs="Times New Roman"/>
          <w:color w:val="000000"/>
          <w:sz w:val="26"/>
          <w:szCs w:val="26"/>
          <w:lang w:eastAsia="ar-SA"/>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PVN. reģ. Nr.: LV90011524360</w:t>
            </w:r>
          </w:p>
          <w:p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Luminor Bank AS Latvijas filiāle</w:t>
            </w:r>
          </w:p>
          <w:p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Kods RIKOLV2X</w:t>
            </w:r>
          </w:p>
          <w:p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LV80RIKO0021000716042 (valsts budžets)</w:t>
            </w:r>
          </w:p>
          <w:p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LV70RIKO0021000916042 (pašvaldības budžets)</w:t>
            </w:r>
          </w:p>
          <w:p w:rsidR="00B352DC" w:rsidRPr="009120AC" w:rsidRDefault="005E2AA9" w:rsidP="004D74AD">
            <w:pPr>
              <w:pStyle w:val="Normal11pt"/>
              <w:ind w:right="-750"/>
              <w:jc w:val="left"/>
              <w:rPr>
                <w:color w:val="000000"/>
                <w:sz w:val="26"/>
                <w:szCs w:val="20"/>
              </w:rPr>
            </w:pPr>
            <w:r w:rsidRPr="004D74AD">
              <w:rPr>
                <w:b w:val="0"/>
                <w:iCs/>
                <w:snapToGrid w:val="0"/>
                <w:sz w:val="26"/>
                <w:szCs w:val="26"/>
              </w:rPr>
              <w:t>&lt;amats, vārds, uzvārds&gt;</w:t>
            </w:r>
            <w:r w:rsidR="00B352DC" w:rsidRPr="00D24D95">
              <w:rPr>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3B15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rsidR="001C56F1" w:rsidRDefault="003B15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270CBF">
      <w:rPr>
        <w:noProof/>
      </w:rPr>
      <w:t>1</w:t>
    </w:r>
    <w:r>
      <w:fldChar w:fldCharType="end"/>
    </w:r>
  </w:p>
  <w:p w:rsidR="001C56F1" w:rsidRDefault="003B15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 w:id="1">
    <w:p w:rsidR="001E676A" w:rsidRDefault="001E676A" w:rsidP="001E676A">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rsidR="001E676A" w:rsidRDefault="001E676A" w:rsidP="001E676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37D67"/>
    <w:rsid w:val="00092402"/>
    <w:rsid w:val="000E3241"/>
    <w:rsid w:val="00114D50"/>
    <w:rsid w:val="001665A6"/>
    <w:rsid w:val="001B35D4"/>
    <w:rsid w:val="001E676A"/>
    <w:rsid w:val="002170E1"/>
    <w:rsid w:val="0025556E"/>
    <w:rsid w:val="00262955"/>
    <w:rsid w:val="00262EDA"/>
    <w:rsid w:val="00270CBF"/>
    <w:rsid w:val="002D50AC"/>
    <w:rsid w:val="002E3046"/>
    <w:rsid w:val="00317F89"/>
    <w:rsid w:val="00332E96"/>
    <w:rsid w:val="003638B2"/>
    <w:rsid w:val="00366BA8"/>
    <w:rsid w:val="00384987"/>
    <w:rsid w:val="003A59BE"/>
    <w:rsid w:val="003B15CE"/>
    <w:rsid w:val="0044657C"/>
    <w:rsid w:val="00472E98"/>
    <w:rsid w:val="00476D9C"/>
    <w:rsid w:val="004854B2"/>
    <w:rsid w:val="004A2DCA"/>
    <w:rsid w:val="004D2BCF"/>
    <w:rsid w:val="004D74AD"/>
    <w:rsid w:val="004F4C65"/>
    <w:rsid w:val="00545F6F"/>
    <w:rsid w:val="0057798D"/>
    <w:rsid w:val="005A761D"/>
    <w:rsid w:val="005D2506"/>
    <w:rsid w:val="005E2AA9"/>
    <w:rsid w:val="00644A84"/>
    <w:rsid w:val="00665111"/>
    <w:rsid w:val="00691088"/>
    <w:rsid w:val="006960FC"/>
    <w:rsid w:val="006A5201"/>
    <w:rsid w:val="006D2D48"/>
    <w:rsid w:val="006F24E3"/>
    <w:rsid w:val="006F643B"/>
    <w:rsid w:val="00711B09"/>
    <w:rsid w:val="00717C21"/>
    <w:rsid w:val="00734E65"/>
    <w:rsid w:val="0077770D"/>
    <w:rsid w:val="00787D23"/>
    <w:rsid w:val="008133C9"/>
    <w:rsid w:val="008221AE"/>
    <w:rsid w:val="00840C1E"/>
    <w:rsid w:val="008955DC"/>
    <w:rsid w:val="008A7428"/>
    <w:rsid w:val="008B6257"/>
    <w:rsid w:val="008C14DC"/>
    <w:rsid w:val="008C79DA"/>
    <w:rsid w:val="008D28C9"/>
    <w:rsid w:val="00906D88"/>
    <w:rsid w:val="00922844"/>
    <w:rsid w:val="00937140"/>
    <w:rsid w:val="009643C7"/>
    <w:rsid w:val="009808E4"/>
    <w:rsid w:val="00984A80"/>
    <w:rsid w:val="009A48CD"/>
    <w:rsid w:val="009B3396"/>
    <w:rsid w:val="009B713F"/>
    <w:rsid w:val="009C4F96"/>
    <w:rsid w:val="009E1CD0"/>
    <w:rsid w:val="009E42A8"/>
    <w:rsid w:val="00A06F98"/>
    <w:rsid w:val="00A607BE"/>
    <w:rsid w:val="00A80830"/>
    <w:rsid w:val="00A91266"/>
    <w:rsid w:val="00AE1B9A"/>
    <w:rsid w:val="00B352DC"/>
    <w:rsid w:val="00B86E61"/>
    <w:rsid w:val="00B95B86"/>
    <w:rsid w:val="00B95E3F"/>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767F7"/>
    <w:rsid w:val="00DB684C"/>
    <w:rsid w:val="00DE6213"/>
    <w:rsid w:val="00E10268"/>
    <w:rsid w:val="00E32EB9"/>
    <w:rsid w:val="00E341AF"/>
    <w:rsid w:val="00E7438E"/>
    <w:rsid w:val="00EE4048"/>
    <w:rsid w:val="00EF0D51"/>
    <w:rsid w:val="00F23C74"/>
    <w:rsid w:val="00F25ECA"/>
    <w:rsid w:val="00F34926"/>
    <w:rsid w:val="00F90520"/>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BE75"/>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23787</Words>
  <Characters>13559</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2020-11-30T16:59:00Z</dcterms:created>
  <dcterms:modified xsi:type="dcterms:W3CDTF">2020-12-02T09:26:00Z</dcterms:modified>
</cp:coreProperties>
</file>