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3342" w14:textId="77777777" w:rsidR="001A51A6" w:rsidRPr="00593495" w:rsidRDefault="00014025" w:rsidP="001A51A6">
      <w:pPr>
        <w:autoSpaceDE w:val="0"/>
        <w:autoSpaceDN w:val="0"/>
        <w:adjustRightInd w:val="0"/>
        <w:jc w:val="center"/>
        <w:rPr>
          <w:noProof/>
          <w:lang w:val="lv-LV" w:eastAsia="lv-LV"/>
        </w:rPr>
      </w:pPr>
      <w:r>
        <w:rPr>
          <w:noProof/>
          <w:lang w:val="lv-LV"/>
        </w:rPr>
        <w:pict w14:anchorId="5BEA7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alt="Rigas_gerb_liels" style="width:105pt;height:62.25pt;visibility:visible">
            <v:imagedata r:id="rId8" o:title="Rigas_gerb_liels"/>
          </v:shape>
        </w:pict>
      </w:r>
    </w:p>
    <w:p w14:paraId="087C7287" w14:textId="77777777" w:rsidR="001A51A6" w:rsidRPr="00593495" w:rsidRDefault="00014025" w:rsidP="001A51A6">
      <w:pPr>
        <w:spacing w:after="120"/>
        <w:jc w:val="center"/>
        <w:rPr>
          <w:noProof/>
          <w:sz w:val="27"/>
          <w:szCs w:val="27"/>
          <w:lang w:val="lv-LV" w:eastAsia="lv-LV"/>
        </w:rPr>
      </w:pPr>
      <w:r w:rsidRPr="00593495">
        <w:rPr>
          <w:noProof/>
          <w:sz w:val="27"/>
          <w:szCs w:val="27"/>
          <w:lang w:val="lv-LV" w:eastAsia="lv-LV"/>
        </w:rPr>
        <w:t>RĪGAS DOME</w:t>
      </w:r>
    </w:p>
    <w:p w14:paraId="294248C9" w14:textId="77777777" w:rsidR="001A51A6" w:rsidRPr="00CF6E8F" w:rsidRDefault="00014025" w:rsidP="001A51A6">
      <w:pPr>
        <w:tabs>
          <w:tab w:val="left" w:pos="3960"/>
        </w:tabs>
        <w:jc w:val="center"/>
        <w:rPr>
          <w:noProof/>
          <w:sz w:val="22"/>
          <w:szCs w:val="22"/>
          <w:lang w:val="lv-LV"/>
        </w:rPr>
      </w:pPr>
      <w:r w:rsidRPr="00CF6E8F">
        <w:rPr>
          <w:noProof/>
          <w:sz w:val="22"/>
          <w:szCs w:val="22"/>
          <w:lang w:val="lv-LV"/>
        </w:rPr>
        <w:t>Rātslaukums 1, Rīga, LV-1</w:t>
      </w:r>
      <w:r w:rsidR="00213B97">
        <w:rPr>
          <w:noProof/>
          <w:sz w:val="22"/>
          <w:szCs w:val="22"/>
          <w:lang w:val="lv-LV"/>
        </w:rPr>
        <w:t>050</w:t>
      </w:r>
      <w:r w:rsidRPr="00CF6E8F">
        <w:rPr>
          <w:noProof/>
          <w:sz w:val="22"/>
          <w:szCs w:val="22"/>
          <w:lang w:val="lv-LV"/>
        </w:rPr>
        <w:t>, tālrunis 67012222, e-pasts: riga@riga.lv</w:t>
      </w:r>
    </w:p>
    <w:p w14:paraId="6EEF1325" w14:textId="77777777" w:rsidR="001A51A6" w:rsidRPr="00546643" w:rsidRDefault="001A51A6" w:rsidP="001A51A6">
      <w:pPr>
        <w:jc w:val="center"/>
        <w:rPr>
          <w:bCs/>
          <w:noProof/>
          <w:sz w:val="16"/>
          <w:szCs w:val="16"/>
          <w:lang w:val="lv-LV" w:eastAsia="lv-LV"/>
        </w:rPr>
      </w:pPr>
    </w:p>
    <w:p w14:paraId="64BE6142" w14:textId="77777777" w:rsidR="001A51A6" w:rsidRPr="00593495" w:rsidRDefault="00014025" w:rsidP="001A51A6">
      <w:pPr>
        <w:jc w:val="center"/>
        <w:rPr>
          <w:bCs/>
          <w:noProof/>
          <w:sz w:val="34"/>
          <w:szCs w:val="34"/>
          <w:lang w:val="lv-LV" w:eastAsia="lv-LV"/>
        </w:rPr>
      </w:pPr>
      <w:r w:rsidRPr="00593495">
        <w:rPr>
          <w:bCs/>
          <w:noProof/>
          <w:sz w:val="34"/>
          <w:szCs w:val="34"/>
          <w:lang w:val="lv-LV" w:eastAsia="lv-LV"/>
        </w:rPr>
        <w:t>LĒMUMS</w:t>
      </w:r>
    </w:p>
    <w:p w14:paraId="76A613B0" w14:textId="77777777" w:rsidR="001A51A6" w:rsidRPr="009332CC" w:rsidRDefault="00014025" w:rsidP="00DA6A5A">
      <w:pPr>
        <w:spacing w:before="120" w:after="340"/>
        <w:jc w:val="center"/>
        <w:rPr>
          <w:bCs/>
          <w:noProof/>
          <w:sz w:val="26"/>
          <w:szCs w:val="26"/>
          <w:lang w:val="lv-LV" w:eastAsia="lv-LV"/>
        </w:rPr>
      </w:pPr>
      <w:r w:rsidRPr="009332CC">
        <w:rPr>
          <w:bCs/>
          <w:noProof/>
          <w:sz w:val="26"/>
          <w:szCs w:val="26"/>
          <w:lang w:val="lv-LV" w:eastAsia="lv-LV"/>
        </w:rPr>
        <w:t>Rīgā</w:t>
      </w:r>
    </w:p>
    <w:tbl>
      <w:tblPr>
        <w:tblW w:w="9714" w:type="dxa"/>
        <w:tblInd w:w="-108" w:type="dxa"/>
        <w:tblLayout w:type="fixed"/>
        <w:tblLook w:val="0000" w:firstRow="0" w:lastRow="0" w:firstColumn="0" w:lastColumn="0" w:noHBand="0" w:noVBand="0"/>
      </w:tblPr>
      <w:tblGrid>
        <w:gridCol w:w="4327"/>
        <w:gridCol w:w="5387"/>
      </w:tblGrid>
      <w:tr w:rsidR="00AD6D1F" w14:paraId="209F2CBF" w14:textId="77777777" w:rsidTr="0090625D">
        <w:tc>
          <w:tcPr>
            <w:tcW w:w="4327" w:type="dxa"/>
            <w:tcBorders>
              <w:top w:val="nil"/>
              <w:left w:val="nil"/>
              <w:bottom w:val="nil"/>
              <w:right w:val="nil"/>
            </w:tcBorders>
          </w:tcPr>
          <w:p w14:paraId="5C4E4AA9" w14:textId="77777777" w:rsidR="009206E6" w:rsidRPr="009332CC" w:rsidRDefault="00014025" w:rsidP="001A51A6">
            <w:pPr>
              <w:rPr>
                <w:noProof/>
                <w:sz w:val="26"/>
                <w:szCs w:val="26"/>
                <w:lang w:val="lv-LV"/>
              </w:rPr>
            </w:pPr>
            <w:r w:rsidRPr="009332CC">
              <w:rPr>
                <w:noProof/>
                <w:sz w:val="26"/>
                <w:szCs w:val="26"/>
                <w:lang w:val="lv-LV"/>
              </w:rPr>
              <w:t>22.01.2025.</w:t>
            </w:r>
          </w:p>
        </w:tc>
        <w:tc>
          <w:tcPr>
            <w:tcW w:w="5387" w:type="dxa"/>
            <w:tcBorders>
              <w:top w:val="nil"/>
              <w:left w:val="nil"/>
              <w:bottom w:val="nil"/>
              <w:right w:val="nil"/>
            </w:tcBorders>
          </w:tcPr>
          <w:p w14:paraId="42931BD2" w14:textId="77777777" w:rsidR="009206E6" w:rsidRPr="009332CC" w:rsidRDefault="00014025" w:rsidP="0090625D">
            <w:pPr>
              <w:ind w:right="69"/>
              <w:jc w:val="right"/>
              <w:rPr>
                <w:noProof/>
                <w:sz w:val="26"/>
                <w:szCs w:val="26"/>
                <w:lang w:val="lv-LV"/>
              </w:rPr>
            </w:pPr>
            <w:r>
              <w:rPr>
                <w:noProof/>
                <w:sz w:val="26"/>
                <w:szCs w:val="26"/>
                <w:lang w:val="lv-LV"/>
              </w:rPr>
              <w:t>N</w:t>
            </w:r>
            <w:r w:rsidR="00F55FEB">
              <w:rPr>
                <w:noProof/>
                <w:sz w:val="26"/>
                <w:szCs w:val="26"/>
                <w:lang w:val="lv-LV"/>
              </w:rPr>
              <w:t>r</w:t>
            </w:r>
            <w:r>
              <w:rPr>
                <w:noProof/>
                <w:sz w:val="26"/>
                <w:szCs w:val="26"/>
                <w:lang w:val="lv-LV"/>
              </w:rPr>
              <w:t xml:space="preserve">. </w:t>
            </w:r>
            <w:r w:rsidRPr="009332CC">
              <w:rPr>
                <w:noProof/>
                <w:sz w:val="26"/>
                <w:szCs w:val="26"/>
                <w:lang w:val="lv-LV"/>
              </w:rPr>
              <w:t>RD-25-4196-lē</w:t>
            </w:r>
          </w:p>
        </w:tc>
      </w:tr>
      <w:tr w:rsidR="00AD6D1F" w14:paraId="249238AD" w14:textId="77777777" w:rsidTr="0090625D">
        <w:tc>
          <w:tcPr>
            <w:tcW w:w="4327" w:type="dxa"/>
            <w:tcBorders>
              <w:top w:val="nil"/>
              <w:left w:val="nil"/>
              <w:bottom w:val="nil"/>
              <w:right w:val="nil"/>
            </w:tcBorders>
          </w:tcPr>
          <w:p w14:paraId="15844C9E" w14:textId="77777777" w:rsidR="009206E6" w:rsidRPr="009332CC" w:rsidRDefault="009206E6" w:rsidP="001A51A6">
            <w:pPr>
              <w:rPr>
                <w:noProof/>
                <w:sz w:val="26"/>
                <w:szCs w:val="26"/>
                <w:lang w:val="lv-LV"/>
              </w:rPr>
            </w:pPr>
          </w:p>
        </w:tc>
        <w:tc>
          <w:tcPr>
            <w:tcW w:w="5387" w:type="dxa"/>
            <w:tcBorders>
              <w:top w:val="nil"/>
              <w:left w:val="nil"/>
              <w:bottom w:val="nil"/>
              <w:right w:val="nil"/>
            </w:tcBorders>
          </w:tcPr>
          <w:p w14:paraId="0F7C09D7" w14:textId="77777777" w:rsidR="009206E6" w:rsidRPr="009332CC" w:rsidRDefault="00014025" w:rsidP="0090625D">
            <w:pPr>
              <w:ind w:right="69"/>
              <w:jc w:val="right"/>
              <w:rPr>
                <w:noProof/>
                <w:sz w:val="26"/>
                <w:szCs w:val="26"/>
                <w:lang w:val="lv-LV"/>
              </w:rPr>
            </w:pPr>
            <w:r w:rsidRPr="009332CC">
              <w:rPr>
                <w:noProof/>
                <w:sz w:val="26"/>
                <w:szCs w:val="26"/>
                <w:lang w:val="lv-LV"/>
              </w:rPr>
              <w:t>(prot. Nr.</w:t>
            </w:r>
            <w:r w:rsidR="00022182">
              <w:rPr>
                <w:noProof/>
                <w:sz w:val="26"/>
                <w:szCs w:val="26"/>
                <w:lang w:val="lv-LV"/>
              </w:rPr>
              <w:t xml:space="preserve"> </w:t>
            </w:r>
            <w:r w:rsidRPr="009332CC">
              <w:rPr>
                <w:noProof/>
                <w:sz w:val="26"/>
                <w:szCs w:val="26"/>
                <w:lang w:val="lv-LV"/>
              </w:rPr>
              <w:t xml:space="preserve">134, </w:t>
            </w:r>
            <w:r>
              <w:rPr>
                <w:noProof/>
                <w:sz w:val="26"/>
                <w:szCs w:val="26"/>
                <w:lang w:val="lv-LV"/>
              </w:rPr>
              <w:t xml:space="preserve">10. </w:t>
            </w:r>
            <w:r w:rsidRPr="009332CC">
              <w:rPr>
                <w:noProof/>
                <w:sz w:val="26"/>
                <w:szCs w:val="26"/>
                <w:lang w:val="lv-LV"/>
              </w:rPr>
              <w:t>§)</w:t>
            </w:r>
          </w:p>
        </w:tc>
      </w:tr>
    </w:tbl>
    <w:p w14:paraId="189507D6" w14:textId="77777777" w:rsidR="001A51A6" w:rsidRDefault="001A51A6" w:rsidP="00EF497E">
      <w:pPr>
        <w:jc w:val="center"/>
        <w:rPr>
          <w:bCs/>
          <w:noProof/>
          <w:sz w:val="26"/>
          <w:szCs w:val="26"/>
          <w:lang w:val="lv-LV" w:eastAsia="lv-LV"/>
        </w:rPr>
      </w:pPr>
    </w:p>
    <w:p w14:paraId="285A5F0E" w14:textId="77777777" w:rsidR="00EF497E" w:rsidRPr="009206E6" w:rsidRDefault="00EF497E" w:rsidP="00864118">
      <w:pPr>
        <w:jc w:val="center"/>
        <w:rPr>
          <w:bCs/>
          <w:noProof/>
          <w:sz w:val="26"/>
          <w:szCs w:val="26"/>
          <w:lang w:val="lv-LV" w:eastAsia="lv-LV"/>
        </w:rPr>
      </w:pPr>
    </w:p>
    <w:p w14:paraId="2DFD6C69" w14:textId="77777777" w:rsidR="001A51A6" w:rsidRPr="009206E6" w:rsidRDefault="00014025" w:rsidP="00864118">
      <w:pPr>
        <w:jc w:val="center"/>
        <w:rPr>
          <w:b/>
          <w:noProof/>
          <w:sz w:val="26"/>
          <w:szCs w:val="26"/>
          <w:lang w:val="lv-LV" w:eastAsia="lv-LV"/>
        </w:rPr>
      </w:pPr>
      <w:r w:rsidRPr="009206E6">
        <w:rPr>
          <w:b/>
          <w:noProof/>
          <w:sz w:val="26"/>
          <w:szCs w:val="26"/>
          <w:lang w:val="lv-LV" w:eastAsia="lv-LV"/>
        </w:rPr>
        <w:t>Par festivāla “Positivus” norisi Rīgā 2025.</w:t>
      </w:r>
      <w:r w:rsidR="00EF497E">
        <w:rPr>
          <w:b/>
          <w:noProof/>
          <w:sz w:val="26"/>
          <w:szCs w:val="26"/>
          <w:lang w:val="lv-LV" w:eastAsia="lv-LV"/>
        </w:rPr>
        <w:t> </w:t>
      </w:r>
      <w:r w:rsidRPr="009206E6">
        <w:rPr>
          <w:b/>
          <w:noProof/>
          <w:sz w:val="26"/>
          <w:szCs w:val="26"/>
          <w:lang w:val="lv-LV" w:eastAsia="lv-LV"/>
        </w:rPr>
        <w:t>gadā</w:t>
      </w:r>
    </w:p>
    <w:p w14:paraId="6E34C731" w14:textId="77777777" w:rsidR="0050521A" w:rsidRDefault="0050521A" w:rsidP="00EF497E">
      <w:pPr>
        <w:ind w:firstLine="720"/>
        <w:jc w:val="both"/>
        <w:rPr>
          <w:noProof/>
          <w:sz w:val="26"/>
          <w:szCs w:val="26"/>
          <w:lang w:val="lv-LV"/>
        </w:rPr>
      </w:pPr>
    </w:p>
    <w:p w14:paraId="79CA94D7" w14:textId="77777777" w:rsidR="00EF497E" w:rsidRDefault="00EF497E" w:rsidP="00EF497E">
      <w:pPr>
        <w:ind w:firstLine="720"/>
        <w:jc w:val="both"/>
        <w:rPr>
          <w:noProof/>
          <w:sz w:val="26"/>
          <w:szCs w:val="26"/>
          <w:lang w:val="lv-LV"/>
        </w:rPr>
      </w:pPr>
    </w:p>
    <w:p w14:paraId="6BBCE7A0" w14:textId="77777777" w:rsidR="005E2C0B" w:rsidRPr="005E2C0B" w:rsidRDefault="00014025" w:rsidP="00395783">
      <w:pPr>
        <w:ind w:firstLine="720"/>
        <w:jc w:val="both"/>
        <w:rPr>
          <w:noProof/>
          <w:sz w:val="26"/>
          <w:szCs w:val="26"/>
          <w:lang w:val="lv-LV"/>
        </w:rPr>
      </w:pPr>
      <w:r w:rsidRPr="005E2C0B">
        <w:rPr>
          <w:noProof/>
          <w:sz w:val="26"/>
          <w:szCs w:val="26"/>
          <w:lang w:val="lv-LV"/>
        </w:rPr>
        <w:t xml:space="preserve">Pamatojoties uz Pašvaldību likuma 4. panta pirmās daļas 5. punktu, 10. panta pirmās daļas 19. punktu, </w:t>
      </w:r>
      <w:r w:rsidR="00395783" w:rsidRPr="00395783">
        <w:rPr>
          <w:noProof/>
          <w:sz w:val="26"/>
          <w:szCs w:val="26"/>
          <w:lang w:val="lv-LV"/>
        </w:rPr>
        <w:t xml:space="preserve">Rīgas domes </w:t>
      </w:r>
      <w:r>
        <w:rPr>
          <w:noProof/>
          <w:sz w:val="26"/>
          <w:szCs w:val="26"/>
          <w:lang w:val="lv-LV"/>
        </w:rPr>
        <w:t>22</w:t>
      </w:r>
      <w:r w:rsidR="00395783" w:rsidRPr="00395783">
        <w:rPr>
          <w:noProof/>
          <w:sz w:val="26"/>
          <w:szCs w:val="26"/>
          <w:lang w:val="lv-LV"/>
        </w:rPr>
        <w:t>.01.2025. saistošo noteikumu Nr.</w:t>
      </w:r>
      <w:r w:rsidR="00395783">
        <w:rPr>
          <w:noProof/>
          <w:sz w:val="26"/>
          <w:szCs w:val="26"/>
          <w:lang w:val="lv-LV"/>
        </w:rPr>
        <w:t> </w:t>
      </w:r>
      <w:r w:rsidR="00395783" w:rsidRPr="00395783">
        <w:rPr>
          <w:noProof/>
          <w:sz w:val="26"/>
          <w:szCs w:val="26"/>
          <w:lang w:val="lv-LV"/>
        </w:rPr>
        <w:t>RD-25-</w:t>
      </w:r>
      <w:r>
        <w:rPr>
          <w:noProof/>
          <w:sz w:val="26"/>
          <w:szCs w:val="26"/>
          <w:lang w:val="lv-LV"/>
        </w:rPr>
        <w:t>319</w:t>
      </w:r>
      <w:r w:rsidR="00395783" w:rsidRPr="00395783">
        <w:rPr>
          <w:noProof/>
          <w:sz w:val="26"/>
          <w:szCs w:val="26"/>
          <w:lang w:val="lv-LV"/>
        </w:rPr>
        <w:t>-sn “Par</w:t>
      </w:r>
      <w:r w:rsidR="00395783">
        <w:rPr>
          <w:noProof/>
          <w:sz w:val="26"/>
          <w:szCs w:val="26"/>
          <w:lang w:val="lv-LV"/>
        </w:rPr>
        <w:t xml:space="preserve"> </w:t>
      </w:r>
      <w:r w:rsidR="00395783" w:rsidRPr="00395783">
        <w:rPr>
          <w:noProof/>
          <w:sz w:val="26"/>
          <w:szCs w:val="26"/>
          <w:lang w:val="lv-LV"/>
        </w:rPr>
        <w:t>Rīgas valstspilsētas pašvaldības 2025.</w:t>
      </w:r>
      <w:r w:rsidR="00F034C8">
        <w:rPr>
          <w:noProof/>
          <w:sz w:val="26"/>
          <w:szCs w:val="26"/>
          <w:lang w:val="lv-LV"/>
        </w:rPr>
        <w:t> </w:t>
      </w:r>
      <w:r w:rsidR="00395783" w:rsidRPr="00395783">
        <w:rPr>
          <w:noProof/>
          <w:sz w:val="26"/>
          <w:szCs w:val="26"/>
          <w:lang w:val="lv-LV"/>
        </w:rPr>
        <w:t>gada budžetu” 21.</w:t>
      </w:r>
      <w:r w:rsidR="00395783">
        <w:rPr>
          <w:noProof/>
          <w:sz w:val="26"/>
          <w:szCs w:val="26"/>
          <w:lang w:val="lv-LV"/>
        </w:rPr>
        <w:t> </w:t>
      </w:r>
      <w:r w:rsidR="00395783" w:rsidRPr="00395783">
        <w:rPr>
          <w:noProof/>
          <w:sz w:val="26"/>
          <w:szCs w:val="26"/>
          <w:lang w:val="lv-LV"/>
        </w:rPr>
        <w:t xml:space="preserve">punktu, </w:t>
      </w:r>
      <w:r w:rsidRPr="005E2C0B">
        <w:rPr>
          <w:noProof/>
          <w:sz w:val="26"/>
          <w:szCs w:val="26"/>
          <w:lang w:val="lv-LV"/>
        </w:rPr>
        <w:t xml:space="preserve">saskaņā ar Eiropas Komisijas 17.06.2014. Regulas Nr. 651/2014, ar ko noteiktas atbalsta kategorijas atzīst par saderīgām ar iekšējo tirgu, piemērojot Līguma 107. un 108. pantu (turpmāk – </w:t>
      </w:r>
      <w:bookmarkStart w:id="0" w:name="_Hlk154697202"/>
      <w:r w:rsidRPr="005E2C0B">
        <w:rPr>
          <w:noProof/>
          <w:sz w:val="26"/>
          <w:szCs w:val="26"/>
          <w:lang w:val="lv-LV"/>
        </w:rPr>
        <w:t>Eiropas Komisijas Regula Nr. 651/2014</w:t>
      </w:r>
      <w:bookmarkEnd w:id="0"/>
      <w:r w:rsidRPr="005E2C0B">
        <w:rPr>
          <w:noProof/>
          <w:sz w:val="26"/>
          <w:szCs w:val="26"/>
          <w:lang w:val="lv-LV"/>
        </w:rPr>
        <w:t>), 1., 2., 4. un 12. pantā noteikto, lai sniegtu atbalstu kultūras pasākuma norisei Rīgas valstspilsētas pašvaldības administratīvajā teritorijā, Rīgas dome n</w:t>
      </w:r>
      <w:r w:rsidRPr="005E2C0B">
        <w:rPr>
          <w:noProof/>
          <w:sz w:val="26"/>
          <w:szCs w:val="26"/>
          <w:lang w:val="lv-LV"/>
        </w:rPr>
        <w:t>olemj:</w:t>
      </w:r>
    </w:p>
    <w:p w14:paraId="490ED824" w14:textId="77777777" w:rsidR="005E2C0B" w:rsidRPr="005E2C0B" w:rsidRDefault="005E2C0B" w:rsidP="005E2C0B">
      <w:pPr>
        <w:ind w:firstLine="720"/>
        <w:jc w:val="both"/>
        <w:rPr>
          <w:noProof/>
          <w:sz w:val="26"/>
          <w:szCs w:val="26"/>
          <w:lang w:val="lv-LV"/>
        </w:rPr>
      </w:pPr>
    </w:p>
    <w:p w14:paraId="5986B006" w14:textId="77777777" w:rsidR="005E2C0B" w:rsidRPr="005E2C0B" w:rsidRDefault="00014025" w:rsidP="005E2C0B">
      <w:pPr>
        <w:tabs>
          <w:tab w:val="left" w:pos="1134"/>
        </w:tabs>
        <w:ind w:firstLine="720"/>
        <w:jc w:val="both"/>
        <w:rPr>
          <w:noProof/>
          <w:sz w:val="26"/>
          <w:szCs w:val="26"/>
          <w:lang w:val="lv-LV"/>
        </w:rPr>
      </w:pPr>
      <w:r w:rsidRPr="005E2C0B">
        <w:rPr>
          <w:noProof/>
          <w:sz w:val="26"/>
          <w:szCs w:val="26"/>
          <w:lang w:val="lv-LV"/>
        </w:rPr>
        <w:t xml:space="preserve">1. Atbalstīt festivāla “Positivus” norisi Rīgā </w:t>
      </w:r>
      <w:bookmarkStart w:id="1" w:name="_Hlk154696672"/>
      <w:r w:rsidRPr="005E2C0B">
        <w:rPr>
          <w:noProof/>
          <w:sz w:val="26"/>
          <w:szCs w:val="26"/>
          <w:lang w:val="lv-LV"/>
        </w:rPr>
        <w:t>08.08.2025. un 09.08.2025.</w:t>
      </w:r>
      <w:bookmarkEnd w:id="1"/>
    </w:p>
    <w:p w14:paraId="1F1BB2F1" w14:textId="77777777" w:rsidR="005E2C0B" w:rsidRPr="005E2C0B" w:rsidRDefault="005E2C0B" w:rsidP="005E2C0B">
      <w:pPr>
        <w:ind w:firstLine="720"/>
        <w:jc w:val="both"/>
        <w:rPr>
          <w:noProof/>
          <w:sz w:val="26"/>
          <w:szCs w:val="26"/>
          <w:lang w:val="lv-LV"/>
        </w:rPr>
      </w:pPr>
    </w:p>
    <w:p w14:paraId="04AC9C73" w14:textId="77777777" w:rsidR="005E2C0B" w:rsidRPr="005E2C0B" w:rsidRDefault="00014025" w:rsidP="005E2C0B">
      <w:pPr>
        <w:tabs>
          <w:tab w:val="left" w:pos="1134"/>
        </w:tabs>
        <w:ind w:firstLine="720"/>
        <w:jc w:val="both"/>
        <w:rPr>
          <w:noProof/>
          <w:sz w:val="26"/>
          <w:szCs w:val="26"/>
          <w:lang w:val="lv-LV"/>
        </w:rPr>
      </w:pPr>
      <w:r w:rsidRPr="005E2C0B">
        <w:rPr>
          <w:noProof/>
          <w:sz w:val="26"/>
          <w:szCs w:val="26"/>
          <w:lang w:val="lv-LV"/>
        </w:rPr>
        <w:t>2. Apstiprināt finansēšanas līguma projektu un pilnvarot Rīgas valstspilsētas pašvaldības aģentūras “Rīgas investīciju un tūrisma aģentūra” direktoru parakstīt finansēšanas līgumu (un citus ar to saistītos dokumentus) ar</w:t>
      </w:r>
      <w:r w:rsidRPr="005E2C0B">
        <w:rPr>
          <w:noProof/>
          <w:sz w:val="26"/>
          <w:lang w:val="lv-LV"/>
        </w:rPr>
        <w:t xml:space="preserve"> </w:t>
      </w:r>
      <w:bookmarkStart w:id="2" w:name="_Hlk104891105"/>
      <w:r w:rsidRPr="005E2C0B">
        <w:rPr>
          <w:noProof/>
          <w:sz w:val="26"/>
          <w:szCs w:val="26"/>
          <w:lang w:val="lv-LV"/>
        </w:rPr>
        <w:t>festivāla “</w:t>
      </w:r>
      <w:r w:rsidRPr="005E2C0B">
        <w:rPr>
          <w:noProof/>
          <w:sz w:val="26"/>
          <w:lang w:val="lv-LV"/>
        </w:rPr>
        <w:t xml:space="preserve">Positivus” </w:t>
      </w:r>
      <w:r w:rsidRPr="005E2C0B">
        <w:rPr>
          <w:noProof/>
          <w:sz w:val="26"/>
          <w:szCs w:val="26"/>
          <w:lang w:val="lv-LV"/>
        </w:rPr>
        <w:t xml:space="preserve">norises </w:t>
      </w:r>
      <w:bookmarkEnd w:id="2"/>
      <w:r w:rsidRPr="005E2C0B">
        <w:rPr>
          <w:noProof/>
          <w:sz w:val="26"/>
          <w:szCs w:val="26"/>
          <w:lang w:val="lv-LV"/>
        </w:rPr>
        <w:t>organizētāju</w:t>
      </w:r>
      <w:r w:rsidR="00A87AF7">
        <w:rPr>
          <w:noProof/>
          <w:sz w:val="26"/>
          <w:szCs w:val="26"/>
          <w:lang w:val="lv-LV"/>
        </w:rPr>
        <w:t xml:space="preserve"> </w:t>
      </w:r>
      <w:r w:rsidRPr="005E2C0B">
        <w:rPr>
          <w:noProof/>
          <w:sz w:val="26"/>
          <w:szCs w:val="26"/>
          <w:lang w:val="lv-LV"/>
        </w:rPr>
        <w:t>–</w:t>
      </w:r>
      <w:r w:rsidR="00A87AF7">
        <w:rPr>
          <w:noProof/>
          <w:sz w:val="26"/>
          <w:szCs w:val="26"/>
          <w:lang w:val="lv-LV"/>
        </w:rPr>
        <w:t xml:space="preserve"> </w:t>
      </w:r>
      <w:r w:rsidRPr="005E2C0B">
        <w:rPr>
          <w:noProof/>
          <w:sz w:val="26"/>
          <w:szCs w:val="26"/>
          <w:lang w:val="lv-LV"/>
        </w:rPr>
        <w:t>sabiedrību ar ierobežotu atbildību “POSITIVUS” (reģistrācijas Nr. 40003616297), apliecinot Rīgas valstspilsētas pašvaldības piekrišanu festivāla “Positivus” norisei Rīgā.</w:t>
      </w:r>
    </w:p>
    <w:p w14:paraId="6CFA9388" w14:textId="77777777" w:rsidR="005E2C0B" w:rsidRPr="005E2C0B" w:rsidRDefault="005E2C0B" w:rsidP="005E2C0B">
      <w:pPr>
        <w:ind w:firstLine="720"/>
        <w:jc w:val="both"/>
        <w:rPr>
          <w:noProof/>
          <w:sz w:val="26"/>
          <w:szCs w:val="26"/>
          <w:lang w:val="lv-LV"/>
        </w:rPr>
      </w:pPr>
    </w:p>
    <w:p w14:paraId="63FACB9B" w14:textId="77777777" w:rsidR="005E2C0B" w:rsidRPr="005E2C0B" w:rsidRDefault="00014025" w:rsidP="0076796D">
      <w:pPr>
        <w:tabs>
          <w:tab w:val="left" w:pos="1134"/>
        </w:tabs>
        <w:ind w:firstLine="720"/>
        <w:jc w:val="both"/>
        <w:rPr>
          <w:noProof/>
          <w:sz w:val="26"/>
          <w:szCs w:val="26"/>
          <w:lang w:val="lv-LV"/>
        </w:rPr>
      </w:pPr>
      <w:r w:rsidRPr="005E2C0B">
        <w:rPr>
          <w:noProof/>
          <w:sz w:val="26"/>
          <w:szCs w:val="26"/>
          <w:lang w:val="lv-LV"/>
        </w:rPr>
        <w:t xml:space="preserve">3. Piešķirt līdzfinansējumu festivāla “Positivus” norises atbalstam no Rīgas valstspilsētas pašvaldības </w:t>
      </w:r>
      <w:bookmarkStart w:id="3" w:name="_Hlk156485548"/>
      <w:r w:rsidRPr="005E2C0B">
        <w:rPr>
          <w:noProof/>
          <w:sz w:val="26"/>
          <w:szCs w:val="26"/>
          <w:lang w:val="lv-LV"/>
        </w:rPr>
        <w:t xml:space="preserve">2025. gada </w:t>
      </w:r>
      <w:bookmarkStart w:id="4" w:name="_Hlk154577246"/>
      <w:r w:rsidRPr="005E2C0B">
        <w:rPr>
          <w:noProof/>
          <w:sz w:val="26"/>
          <w:szCs w:val="26"/>
          <w:lang w:val="lv-LV"/>
        </w:rPr>
        <w:t xml:space="preserve">budžeta programmas </w:t>
      </w:r>
      <w:r w:rsidRPr="005E2C0B">
        <w:rPr>
          <w:noProof/>
          <w:sz w:val="26"/>
          <w:szCs w:val="26"/>
          <w:lang w:val="lv-LV" w:eastAsia="lv-LV"/>
        </w:rPr>
        <w:t>01.11.00. “</w:t>
      </w:r>
      <w:r w:rsidR="00651058">
        <w:rPr>
          <w:noProof/>
          <w:sz w:val="26"/>
          <w:szCs w:val="26"/>
          <w:lang w:val="lv-LV" w:eastAsia="lv-LV"/>
        </w:rPr>
        <w:t>R</w:t>
      </w:r>
      <w:r w:rsidR="0076796D" w:rsidRPr="0076796D">
        <w:rPr>
          <w:noProof/>
          <w:sz w:val="26"/>
          <w:szCs w:val="26"/>
          <w:lang w:val="lv-LV" w:eastAsia="lv-LV"/>
        </w:rPr>
        <w:t>īgas valstspilsētas pašvaldības konkurētspēju, ekonomisko</w:t>
      </w:r>
      <w:r w:rsidR="0076796D">
        <w:rPr>
          <w:noProof/>
          <w:sz w:val="26"/>
          <w:szCs w:val="26"/>
          <w:lang w:val="lv-LV" w:eastAsia="lv-LV"/>
        </w:rPr>
        <w:t xml:space="preserve"> </w:t>
      </w:r>
      <w:r w:rsidR="0076796D" w:rsidRPr="0076796D">
        <w:rPr>
          <w:noProof/>
          <w:sz w:val="26"/>
          <w:szCs w:val="26"/>
          <w:lang w:val="lv-LV" w:eastAsia="lv-LV"/>
        </w:rPr>
        <w:t>izaugsmi un ku</w:t>
      </w:r>
      <w:r w:rsidR="002623FF">
        <w:rPr>
          <w:noProof/>
          <w:sz w:val="26"/>
          <w:szCs w:val="26"/>
          <w:lang w:val="lv-LV" w:eastAsia="lv-LV"/>
        </w:rPr>
        <w:t>l</w:t>
      </w:r>
      <w:r w:rsidR="0076796D" w:rsidRPr="0076796D">
        <w:rPr>
          <w:noProof/>
          <w:sz w:val="26"/>
          <w:szCs w:val="26"/>
          <w:lang w:val="lv-LV" w:eastAsia="lv-LV"/>
        </w:rPr>
        <w:t>tūras atpazīstamīb</w:t>
      </w:r>
      <w:r w:rsidR="00A87AF7">
        <w:rPr>
          <w:noProof/>
          <w:sz w:val="26"/>
          <w:szCs w:val="26"/>
          <w:lang w:val="lv-LV" w:eastAsia="lv-LV"/>
        </w:rPr>
        <w:t>u</w:t>
      </w:r>
      <w:r w:rsidR="0076796D" w:rsidRPr="0076796D">
        <w:rPr>
          <w:noProof/>
          <w:sz w:val="26"/>
          <w:szCs w:val="26"/>
          <w:lang w:val="lv-LV" w:eastAsia="lv-LV"/>
        </w:rPr>
        <w:t xml:space="preserve"> sekmējoši pasākumi</w:t>
      </w:r>
      <w:r w:rsidRPr="005E2C0B">
        <w:rPr>
          <w:noProof/>
          <w:sz w:val="26"/>
          <w:szCs w:val="26"/>
          <w:lang w:val="lv-LV" w:eastAsia="lv-LV"/>
        </w:rPr>
        <w:t>”</w:t>
      </w:r>
      <w:bookmarkEnd w:id="3"/>
      <w:bookmarkEnd w:id="4"/>
      <w:r w:rsidRPr="005E2C0B">
        <w:rPr>
          <w:noProof/>
          <w:sz w:val="26"/>
          <w:szCs w:val="26"/>
          <w:lang w:val="lv-LV" w:eastAsia="lv-LV"/>
        </w:rPr>
        <w:t xml:space="preserve"> </w:t>
      </w:r>
      <w:r w:rsidRPr="005E2C0B">
        <w:rPr>
          <w:noProof/>
          <w:sz w:val="26"/>
          <w:szCs w:val="26"/>
          <w:lang w:val="lv-LV"/>
        </w:rPr>
        <w:t>150 000 </w:t>
      </w:r>
      <w:r w:rsidRPr="005E2C0B">
        <w:rPr>
          <w:i/>
          <w:iCs/>
          <w:noProof/>
          <w:sz w:val="26"/>
          <w:szCs w:val="26"/>
          <w:lang w:val="lv-LV"/>
        </w:rPr>
        <w:t>euro</w:t>
      </w:r>
      <w:r w:rsidRPr="005E2C0B">
        <w:rPr>
          <w:noProof/>
          <w:sz w:val="26"/>
          <w:szCs w:val="26"/>
          <w:lang w:val="lv-LV"/>
        </w:rPr>
        <w:t xml:space="preserve"> apmērā (turpmāk – Līdzfinansējums), kas veido 8,57 % no festivāla “Positivus” kopējās tāmes.</w:t>
      </w:r>
    </w:p>
    <w:p w14:paraId="2761D53F" w14:textId="77777777" w:rsidR="005E2C0B" w:rsidRPr="005E2C0B" w:rsidRDefault="005E2C0B" w:rsidP="005E2C0B">
      <w:pPr>
        <w:ind w:firstLine="720"/>
        <w:jc w:val="both"/>
        <w:rPr>
          <w:noProof/>
          <w:sz w:val="26"/>
          <w:szCs w:val="26"/>
          <w:lang w:val="lv-LV"/>
        </w:rPr>
      </w:pPr>
    </w:p>
    <w:p w14:paraId="6F3EA6DA" w14:textId="77777777" w:rsidR="005E2C0B" w:rsidRPr="005E2C0B" w:rsidRDefault="00014025" w:rsidP="005E2C0B">
      <w:pPr>
        <w:tabs>
          <w:tab w:val="left" w:pos="1134"/>
        </w:tabs>
        <w:ind w:firstLine="720"/>
        <w:jc w:val="both"/>
        <w:rPr>
          <w:noProof/>
          <w:sz w:val="26"/>
          <w:szCs w:val="26"/>
          <w:lang w:val="lv-LV"/>
        </w:rPr>
      </w:pPr>
      <w:bookmarkStart w:id="5" w:name="_Hlk187658301"/>
      <w:r w:rsidRPr="005E2C0B">
        <w:rPr>
          <w:noProof/>
          <w:sz w:val="26"/>
          <w:szCs w:val="26"/>
          <w:lang w:val="lv-LV"/>
        </w:rPr>
        <w:t xml:space="preserve">4. Noteikt, ka Rīgas valstspilsētas pašvaldības aģentūra “Rīgas investīciju un tūrisma aģentūra” uz Līdzfinansējuma piešķiršanas brīdi </w:t>
      </w:r>
      <w:r>
        <w:rPr>
          <w:noProof/>
          <w:sz w:val="26"/>
          <w:szCs w:val="26"/>
          <w:lang w:val="lv-LV"/>
        </w:rPr>
        <w:t xml:space="preserve">(finansēšanas līguma noslēgšanas brīdi) </w:t>
      </w:r>
      <w:r w:rsidRPr="005E2C0B">
        <w:rPr>
          <w:noProof/>
          <w:sz w:val="26"/>
          <w:szCs w:val="26"/>
          <w:lang w:val="lv-LV"/>
        </w:rPr>
        <w:t>izvērtēs, vai sabiedrība ar ierobežotu atbildību “POSITIVUS” atbilst visiem finansēšanas līgumā ietvertajiem nosacījumiem, tai skaitā nosacījumiem, kas izriet no Eiropas Komisijas Regulas Nr. 651/2014.</w:t>
      </w:r>
    </w:p>
    <w:bookmarkEnd w:id="5"/>
    <w:p w14:paraId="5193F8A6" w14:textId="77777777" w:rsidR="005E2C0B" w:rsidRPr="005E2C0B" w:rsidRDefault="00014025" w:rsidP="005E2C0B">
      <w:pPr>
        <w:tabs>
          <w:tab w:val="left" w:pos="1134"/>
        </w:tabs>
        <w:ind w:firstLine="720"/>
        <w:jc w:val="both"/>
        <w:rPr>
          <w:noProof/>
          <w:sz w:val="26"/>
          <w:szCs w:val="26"/>
          <w:lang w:val="lv-LV"/>
        </w:rPr>
      </w:pPr>
      <w:r w:rsidRPr="005E2C0B">
        <w:rPr>
          <w:noProof/>
          <w:sz w:val="26"/>
          <w:szCs w:val="26"/>
          <w:lang w:val="lv-LV"/>
        </w:rPr>
        <w:lastRenderedPageBreak/>
        <w:t>5. Noteikt, ka Līdzfinansējums tiks piešķirts pēc lēmuma 4. punktā paredzētās pārbaudes.</w:t>
      </w:r>
    </w:p>
    <w:p w14:paraId="34B6D119" w14:textId="77777777" w:rsidR="005E2C0B" w:rsidRPr="005E2C0B" w:rsidRDefault="005E2C0B" w:rsidP="005E2C0B">
      <w:pPr>
        <w:ind w:firstLine="720"/>
        <w:jc w:val="both"/>
        <w:rPr>
          <w:noProof/>
          <w:sz w:val="26"/>
          <w:szCs w:val="26"/>
          <w:lang w:val="lv-LV"/>
        </w:rPr>
      </w:pPr>
    </w:p>
    <w:p w14:paraId="648068EC" w14:textId="77777777" w:rsidR="005E2C0B" w:rsidRPr="005E2C0B" w:rsidRDefault="00014025" w:rsidP="005E2C0B">
      <w:pPr>
        <w:tabs>
          <w:tab w:val="left" w:pos="1134"/>
        </w:tabs>
        <w:ind w:firstLine="720"/>
        <w:jc w:val="both"/>
        <w:rPr>
          <w:noProof/>
          <w:sz w:val="26"/>
          <w:szCs w:val="26"/>
          <w:lang w:val="lv-LV"/>
        </w:rPr>
      </w:pPr>
      <w:r w:rsidRPr="005E2C0B">
        <w:rPr>
          <w:noProof/>
          <w:sz w:val="26"/>
          <w:szCs w:val="26"/>
          <w:lang w:val="lv-LV"/>
        </w:rPr>
        <w:t xml:space="preserve">6. Noteikt, ka </w:t>
      </w:r>
      <w:bookmarkStart w:id="6" w:name="_Hlk154660333"/>
      <w:r w:rsidRPr="005E2C0B">
        <w:rPr>
          <w:noProof/>
          <w:sz w:val="26"/>
          <w:szCs w:val="26"/>
          <w:lang w:val="lv-LV"/>
        </w:rPr>
        <w:t>Rīgas valstspilsētas pašvaldības aģentūra “Rīgas investīciju un tūrisma aģentūra”</w:t>
      </w:r>
      <w:bookmarkEnd w:id="6"/>
      <w:r w:rsidRPr="005E2C0B">
        <w:rPr>
          <w:noProof/>
          <w:sz w:val="26"/>
          <w:szCs w:val="26"/>
          <w:lang w:val="lv-LV"/>
        </w:rPr>
        <w:t xml:space="preserve"> nodrošina Līdzfinansējuma izlietošanas uzraudzību saskaņā ar Eiropas Komisijas Regulas Nr. 651/2014 12. panta noteikumiem, kā arī nodrošina Līdzfinansējuma piešķiršanas dokumentu glabāšanu 10 gadus no Līdzfinansējuma piešķiršanas brīža.</w:t>
      </w:r>
    </w:p>
    <w:p w14:paraId="2D461275" w14:textId="77777777" w:rsidR="005E2C0B" w:rsidRPr="005E2C0B" w:rsidRDefault="005E2C0B" w:rsidP="005E2C0B">
      <w:pPr>
        <w:ind w:firstLine="720"/>
        <w:jc w:val="both"/>
        <w:rPr>
          <w:noProof/>
          <w:sz w:val="26"/>
          <w:szCs w:val="26"/>
          <w:lang w:val="lv-LV"/>
        </w:rPr>
      </w:pPr>
    </w:p>
    <w:p w14:paraId="743EDB7B" w14:textId="77777777" w:rsidR="005E2C0B" w:rsidRPr="005E2C0B" w:rsidRDefault="00014025" w:rsidP="005E2C0B">
      <w:pPr>
        <w:tabs>
          <w:tab w:val="left" w:pos="1134"/>
        </w:tabs>
        <w:ind w:firstLine="720"/>
        <w:jc w:val="both"/>
        <w:rPr>
          <w:noProof/>
          <w:sz w:val="26"/>
          <w:szCs w:val="26"/>
          <w:lang w:val="lv-LV"/>
        </w:rPr>
      </w:pPr>
      <w:r w:rsidRPr="005E2C0B">
        <w:rPr>
          <w:noProof/>
          <w:sz w:val="26"/>
          <w:szCs w:val="26"/>
          <w:lang w:val="lv-LV"/>
        </w:rPr>
        <w:t>7. Noteikt, ka finansēšanas līguma 3.1. un 3.3.2. apakšpunktā paredzēto Līdzfinansējuma piešķiršanas nosacījumu pārkāpšanas gadījumā Rīgas valstspilsētas pašvaldības aģentūra “Rīgas investīciju un tūrisma aģentūra” ir atbildīga par nelikumīga Līdzfinansējuma atgūšanu, ievērojot finansēšanas līgumā paredzētos noteikumus.</w:t>
      </w:r>
    </w:p>
    <w:p w14:paraId="2A76FABE" w14:textId="77777777" w:rsidR="005E2C0B" w:rsidRPr="005E2C0B" w:rsidRDefault="005E2C0B" w:rsidP="005E2C0B">
      <w:pPr>
        <w:ind w:firstLine="720"/>
        <w:jc w:val="both"/>
        <w:rPr>
          <w:noProof/>
          <w:sz w:val="26"/>
          <w:szCs w:val="26"/>
          <w:lang w:val="lv-LV"/>
        </w:rPr>
      </w:pPr>
    </w:p>
    <w:p w14:paraId="317E04A5" w14:textId="77777777" w:rsidR="005E2C0B" w:rsidRPr="005E2C0B" w:rsidRDefault="00014025" w:rsidP="005E2C0B">
      <w:pPr>
        <w:tabs>
          <w:tab w:val="left" w:pos="1134"/>
        </w:tabs>
        <w:ind w:firstLine="720"/>
        <w:jc w:val="both"/>
        <w:rPr>
          <w:noProof/>
          <w:sz w:val="26"/>
          <w:szCs w:val="26"/>
          <w:lang w:val="lv-LV"/>
        </w:rPr>
      </w:pPr>
      <w:r w:rsidRPr="005E2C0B">
        <w:rPr>
          <w:noProof/>
          <w:sz w:val="26"/>
          <w:szCs w:val="26"/>
          <w:lang w:val="lv-LV"/>
        </w:rPr>
        <w:t xml:space="preserve">8. Uzdot Rīgas valstspilsētas pašvaldības Centrālās administrācijas Komunikācijas pārvaldei publicēt lēmumu Rīgas valstspilsētas pašvaldības </w:t>
      </w:r>
      <w:r w:rsidR="00BB729D">
        <w:rPr>
          <w:noProof/>
          <w:sz w:val="26"/>
          <w:szCs w:val="26"/>
          <w:lang w:val="lv-LV"/>
        </w:rPr>
        <w:t>oficiālajā tīmekļvietnē</w:t>
      </w:r>
      <w:r w:rsidR="00BB729D" w:rsidRPr="005E2C0B">
        <w:rPr>
          <w:noProof/>
          <w:sz w:val="26"/>
          <w:szCs w:val="26"/>
          <w:lang w:val="lv-LV"/>
        </w:rPr>
        <w:t xml:space="preserve"> </w:t>
      </w:r>
      <w:r w:rsidRPr="005E2C0B">
        <w:rPr>
          <w:noProof/>
          <w:sz w:val="26"/>
          <w:szCs w:val="26"/>
          <w:lang w:val="lv-LV"/>
        </w:rPr>
        <w:t xml:space="preserve">www.riga.lv un Rīgas valstspilsētas pašvaldības aģentūrai “Rīgas investīciju un tūrisma aģentūra” </w:t>
      </w:r>
      <w:r w:rsidR="009C1DD1">
        <w:rPr>
          <w:noProof/>
          <w:sz w:val="26"/>
          <w:szCs w:val="26"/>
          <w:lang w:val="lv-LV"/>
        </w:rPr>
        <w:t xml:space="preserve">– </w:t>
      </w:r>
      <w:r w:rsidRPr="005E2C0B">
        <w:rPr>
          <w:noProof/>
          <w:sz w:val="26"/>
          <w:szCs w:val="26"/>
          <w:lang w:val="lv-LV"/>
        </w:rPr>
        <w:t>tīmekļvietnē</w:t>
      </w:r>
      <w:r w:rsidR="009C1DD1">
        <w:rPr>
          <w:noProof/>
          <w:sz w:val="26"/>
          <w:szCs w:val="26"/>
          <w:lang w:val="lv-LV"/>
        </w:rPr>
        <w:t xml:space="preserve"> </w:t>
      </w:r>
      <w:r w:rsidR="009C1DD1" w:rsidRPr="009C1DD1">
        <w:rPr>
          <w:noProof/>
          <w:sz w:val="26"/>
          <w:szCs w:val="26"/>
          <w:lang w:val="lv-LV"/>
        </w:rPr>
        <w:t>www.liveriga.com</w:t>
      </w:r>
      <w:r w:rsidRPr="005E2C0B">
        <w:rPr>
          <w:noProof/>
          <w:sz w:val="26"/>
          <w:szCs w:val="26"/>
          <w:lang w:val="lv-LV"/>
        </w:rPr>
        <w:t>.</w:t>
      </w:r>
    </w:p>
    <w:p w14:paraId="4A84FB91" w14:textId="77777777" w:rsidR="005E2C0B" w:rsidRPr="005E2C0B" w:rsidRDefault="005E2C0B" w:rsidP="005E2C0B">
      <w:pPr>
        <w:ind w:firstLine="720"/>
        <w:rPr>
          <w:noProof/>
          <w:sz w:val="26"/>
          <w:szCs w:val="26"/>
          <w:lang w:val="lv-LV"/>
        </w:rPr>
      </w:pPr>
    </w:p>
    <w:p w14:paraId="6AB3CA68" w14:textId="77777777" w:rsidR="005E2C0B" w:rsidRPr="005E2C0B" w:rsidRDefault="00014025" w:rsidP="005E2C0B">
      <w:pPr>
        <w:tabs>
          <w:tab w:val="left" w:pos="1134"/>
        </w:tabs>
        <w:ind w:firstLine="720"/>
        <w:jc w:val="both"/>
        <w:rPr>
          <w:noProof/>
          <w:sz w:val="26"/>
          <w:szCs w:val="26"/>
          <w:lang w:val="lv-LV"/>
        </w:rPr>
      </w:pPr>
      <w:bookmarkStart w:id="7" w:name="_Hlk154697557"/>
      <w:r w:rsidRPr="005E2C0B">
        <w:rPr>
          <w:noProof/>
          <w:sz w:val="26"/>
          <w:szCs w:val="26"/>
          <w:lang w:val="lv-LV"/>
        </w:rPr>
        <w:t>9. Rīgas valstspilsētas pašvaldības aģentūra “Rīgas investīciju un tūrisma aģentūra”</w:t>
      </w:r>
      <w:bookmarkEnd w:id="7"/>
      <w:r w:rsidRPr="005E2C0B">
        <w:rPr>
          <w:noProof/>
          <w:sz w:val="26"/>
          <w:szCs w:val="26"/>
          <w:lang w:val="lv-LV"/>
        </w:rPr>
        <w:t xml:space="preserve"> un Rīgas valstspilsētas pašvaldības Finanšu departaments </w:t>
      </w:r>
      <w:r>
        <w:rPr>
          <w:noProof/>
          <w:sz w:val="26"/>
          <w:szCs w:val="26"/>
          <w:lang w:val="lv-LV"/>
        </w:rPr>
        <w:t xml:space="preserve">atbilstoši </w:t>
      </w:r>
      <w:r w:rsidR="00E75E07">
        <w:rPr>
          <w:noProof/>
          <w:sz w:val="26"/>
          <w:szCs w:val="26"/>
          <w:lang w:val="lv-LV"/>
        </w:rPr>
        <w:t xml:space="preserve">savai </w:t>
      </w:r>
      <w:r>
        <w:rPr>
          <w:noProof/>
          <w:sz w:val="26"/>
          <w:szCs w:val="26"/>
          <w:lang w:val="lv-LV"/>
        </w:rPr>
        <w:t xml:space="preserve">kompetencei </w:t>
      </w:r>
      <w:r w:rsidRPr="005E2C0B">
        <w:rPr>
          <w:noProof/>
          <w:sz w:val="26"/>
          <w:szCs w:val="26"/>
          <w:lang w:val="lv-LV"/>
        </w:rPr>
        <w:t>ir atbildīgi par lēmuma izpildi.</w:t>
      </w:r>
    </w:p>
    <w:p w14:paraId="0E68E4BB" w14:textId="77777777" w:rsidR="001A51A6" w:rsidRPr="009206E6" w:rsidRDefault="001A51A6" w:rsidP="001A51A6">
      <w:pPr>
        <w:ind w:firstLine="720"/>
        <w:jc w:val="both"/>
        <w:rPr>
          <w:noProof/>
          <w:sz w:val="26"/>
          <w:szCs w:val="26"/>
          <w:lang w:val="lv-LV"/>
        </w:rPr>
      </w:pPr>
    </w:p>
    <w:p w14:paraId="691B9174" w14:textId="77777777" w:rsidR="001A51A6" w:rsidRPr="009206E6" w:rsidRDefault="00014025" w:rsidP="000307B1">
      <w:pPr>
        <w:ind w:firstLine="720"/>
        <w:jc w:val="both"/>
        <w:rPr>
          <w:noProof/>
          <w:sz w:val="26"/>
          <w:szCs w:val="26"/>
          <w:lang w:val="lv-LV"/>
        </w:rPr>
      </w:pPr>
      <w:r>
        <w:rPr>
          <w:noProof/>
          <w:sz w:val="26"/>
          <w:szCs w:val="26"/>
          <w:lang w:val="lv-LV"/>
        </w:rPr>
        <w:t xml:space="preserve">10. </w:t>
      </w:r>
      <w:r w:rsidRPr="000307B1">
        <w:rPr>
          <w:noProof/>
          <w:sz w:val="26"/>
          <w:szCs w:val="26"/>
          <w:lang w:val="lv-LV"/>
        </w:rPr>
        <w:t xml:space="preserve">Lēmums stājas spēkā vienlaikus ar Rīgas domes </w:t>
      </w:r>
      <w:r>
        <w:rPr>
          <w:noProof/>
          <w:sz w:val="26"/>
          <w:szCs w:val="26"/>
          <w:lang w:val="lv-LV"/>
        </w:rPr>
        <w:t>22</w:t>
      </w:r>
      <w:r w:rsidRPr="000307B1">
        <w:rPr>
          <w:noProof/>
          <w:sz w:val="26"/>
          <w:szCs w:val="26"/>
          <w:lang w:val="lv-LV"/>
        </w:rPr>
        <w:t>.01.2025. saistošo noteikumu</w:t>
      </w:r>
      <w:r>
        <w:rPr>
          <w:noProof/>
          <w:sz w:val="26"/>
          <w:szCs w:val="26"/>
          <w:lang w:val="lv-LV"/>
        </w:rPr>
        <w:t xml:space="preserve"> </w:t>
      </w:r>
      <w:r w:rsidRPr="000307B1">
        <w:rPr>
          <w:noProof/>
          <w:sz w:val="26"/>
          <w:szCs w:val="26"/>
          <w:lang w:val="lv-LV"/>
        </w:rPr>
        <w:t>Nr.</w:t>
      </w:r>
      <w:r>
        <w:rPr>
          <w:noProof/>
          <w:sz w:val="26"/>
          <w:szCs w:val="26"/>
          <w:lang w:val="lv-LV"/>
        </w:rPr>
        <w:t> </w:t>
      </w:r>
      <w:r w:rsidRPr="000307B1">
        <w:rPr>
          <w:noProof/>
          <w:sz w:val="26"/>
          <w:szCs w:val="26"/>
          <w:lang w:val="lv-LV"/>
        </w:rPr>
        <w:t>RD-25-</w:t>
      </w:r>
      <w:r>
        <w:rPr>
          <w:noProof/>
          <w:sz w:val="26"/>
          <w:szCs w:val="26"/>
          <w:lang w:val="lv-LV"/>
        </w:rPr>
        <w:t>319</w:t>
      </w:r>
      <w:r w:rsidRPr="000307B1">
        <w:rPr>
          <w:noProof/>
          <w:sz w:val="26"/>
          <w:szCs w:val="26"/>
          <w:lang w:val="lv-LV"/>
        </w:rPr>
        <w:t>-sn “Par Rīgas valstspilsētas pašvaldības 2025.</w:t>
      </w:r>
      <w:r w:rsidR="00E75E07">
        <w:rPr>
          <w:noProof/>
          <w:sz w:val="26"/>
          <w:szCs w:val="26"/>
          <w:lang w:val="lv-LV"/>
        </w:rPr>
        <w:t> </w:t>
      </w:r>
      <w:r w:rsidRPr="000307B1">
        <w:rPr>
          <w:noProof/>
          <w:sz w:val="26"/>
          <w:szCs w:val="26"/>
          <w:lang w:val="lv-LV"/>
        </w:rPr>
        <w:t>gada budžetu” stāšanos</w:t>
      </w:r>
      <w:r>
        <w:rPr>
          <w:noProof/>
          <w:sz w:val="26"/>
          <w:szCs w:val="26"/>
          <w:lang w:val="lv-LV"/>
        </w:rPr>
        <w:t xml:space="preserve"> </w:t>
      </w:r>
      <w:r w:rsidRPr="000307B1">
        <w:rPr>
          <w:noProof/>
          <w:sz w:val="26"/>
          <w:szCs w:val="26"/>
          <w:lang w:val="lv-LV"/>
        </w:rPr>
        <w:t>spēkā.</w:t>
      </w:r>
    </w:p>
    <w:p w14:paraId="61A7FFD5" w14:textId="77777777" w:rsidR="001A51A6" w:rsidRDefault="001A51A6" w:rsidP="001A51A6">
      <w:pPr>
        <w:ind w:firstLine="720"/>
        <w:jc w:val="both"/>
        <w:rPr>
          <w:noProof/>
          <w:sz w:val="26"/>
          <w:szCs w:val="26"/>
          <w:lang w:val="lv-LV"/>
        </w:rPr>
      </w:pPr>
    </w:p>
    <w:p w14:paraId="050E6F6A" w14:textId="77777777" w:rsidR="00E75E07" w:rsidRPr="009206E6" w:rsidRDefault="00E75E07" w:rsidP="001A51A6">
      <w:pPr>
        <w:ind w:firstLine="720"/>
        <w:jc w:val="both"/>
        <w:rPr>
          <w:noProof/>
          <w:sz w:val="26"/>
          <w:szCs w:val="26"/>
          <w:lang w:val="lv-LV"/>
        </w:rPr>
      </w:pPr>
    </w:p>
    <w:p w14:paraId="15D4F19A" w14:textId="77777777" w:rsidR="001A51A6" w:rsidRPr="009206E6" w:rsidRDefault="001A51A6" w:rsidP="001A51A6">
      <w:pPr>
        <w:ind w:firstLine="720"/>
        <w:jc w:val="both"/>
        <w:rPr>
          <w:noProof/>
          <w:sz w:val="26"/>
          <w:szCs w:val="26"/>
          <w:lang w:val="lv-LV"/>
        </w:rPr>
      </w:pPr>
    </w:p>
    <w:tbl>
      <w:tblPr>
        <w:tblW w:w="4971" w:type="pct"/>
        <w:tblLayout w:type="fixed"/>
        <w:tblLook w:val="04A0" w:firstRow="1" w:lastRow="0" w:firstColumn="1" w:lastColumn="0" w:noHBand="0" w:noVBand="1"/>
      </w:tblPr>
      <w:tblGrid>
        <w:gridCol w:w="4876"/>
        <w:gridCol w:w="4819"/>
      </w:tblGrid>
      <w:tr w:rsidR="00AD6D1F" w14:paraId="6C56AFD6" w14:textId="77777777" w:rsidTr="00382026">
        <w:tc>
          <w:tcPr>
            <w:tcW w:w="4877" w:type="dxa"/>
            <w:shd w:val="clear" w:color="auto" w:fill="auto"/>
            <w:tcMar>
              <w:left w:w="57" w:type="dxa"/>
              <w:right w:w="57" w:type="dxa"/>
            </w:tcMar>
            <w:vAlign w:val="bottom"/>
          </w:tcPr>
          <w:p w14:paraId="25456E59" w14:textId="77777777" w:rsidR="001A51A6" w:rsidRPr="009206E6" w:rsidRDefault="00014025" w:rsidP="002C5E34">
            <w:pPr>
              <w:jc w:val="both"/>
              <w:rPr>
                <w:noProof/>
                <w:sz w:val="26"/>
                <w:szCs w:val="26"/>
                <w:lang w:val="lv-LV"/>
              </w:rPr>
            </w:pPr>
            <w:r w:rsidRPr="009206E6">
              <w:rPr>
                <w:noProof/>
                <w:sz w:val="26"/>
                <w:szCs w:val="26"/>
                <w:lang w:val="lv-LV"/>
              </w:rPr>
              <w:t>Rīgas domes priekšsēdētājs</w:t>
            </w:r>
          </w:p>
        </w:tc>
        <w:tc>
          <w:tcPr>
            <w:tcW w:w="4819" w:type="dxa"/>
            <w:shd w:val="clear" w:color="auto" w:fill="auto"/>
            <w:tcMar>
              <w:left w:w="57" w:type="dxa"/>
              <w:right w:w="57" w:type="dxa"/>
            </w:tcMar>
            <w:vAlign w:val="bottom"/>
          </w:tcPr>
          <w:p w14:paraId="73A71828" w14:textId="77777777" w:rsidR="001A51A6" w:rsidRPr="009206E6" w:rsidRDefault="00014025" w:rsidP="002C5E34">
            <w:pPr>
              <w:jc w:val="right"/>
              <w:rPr>
                <w:noProof/>
                <w:sz w:val="26"/>
                <w:szCs w:val="26"/>
                <w:lang w:val="lv-LV"/>
              </w:rPr>
            </w:pPr>
            <w:r w:rsidRPr="002001A1">
              <w:rPr>
                <w:noProof/>
                <w:sz w:val="26"/>
                <w:szCs w:val="26"/>
                <w:lang w:val="lv-LV"/>
              </w:rPr>
              <w:t>V.</w:t>
            </w:r>
            <w:r>
              <w:rPr>
                <w:noProof/>
                <w:sz w:val="26"/>
                <w:szCs w:val="26"/>
                <w:lang w:val="lv-LV"/>
              </w:rPr>
              <w:t xml:space="preserve"> </w:t>
            </w:r>
            <w:r w:rsidRPr="002001A1">
              <w:rPr>
                <w:noProof/>
                <w:sz w:val="26"/>
                <w:szCs w:val="26"/>
                <w:lang w:val="lv-LV"/>
              </w:rPr>
              <w:t>Ķirsis</w:t>
            </w:r>
          </w:p>
        </w:tc>
      </w:tr>
    </w:tbl>
    <w:p w14:paraId="54A4A7F1" w14:textId="77777777" w:rsidR="00E65690" w:rsidRPr="00241266" w:rsidRDefault="00E65690" w:rsidP="00E65690">
      <w:pPr>
        <w:rPr>
          <w:noProof/>
          <w:sz w:val="26"/>
          <w:szCs w:val="26"/>
          <w:lang w:val="lv-LV"/>
        </w:rPr>
      </w:pPr>
    </w:p>
    <w:p w14:paraId="4BCBA47D" w14:textId="77777777" w:rsidR="00241266" w:rsidRPr="00E65690" w:rsidRDefault="00241266" w:rsidP="00E65690">
      <w:pPr>
        <w:rPr>
          <w:noProof/>
          <w:sz w:val="26"/>
          <w:szCs w:val="26"/>
        </w:rPr>
      </w:pPr>
    </w:p>
    <w:p w14:paraId="5E722461" w14:textId="77777777" w:rsidR="001A51A6" w:rsidRDefault="00014025" w:rsidP="001A51A6">
      <w:pPr>
        <w:tabs>
          <w:tab w:val="left" w:pos="2552"/>
          <w:tab w:val="left" w:pos="3119"/>
          <w:tab w:val="left" w:pos="3686"/>
        </w:tabs>
        <w:rPr>
          <w:noProof/>
          <w:sz w:val="26"/>
          <w:szCs w:val="26"/>
          <w:lang w:val="lv-LV"/>
        </w:rPr>
      </w:pPr>
      <w:r>
        <w:rPr>
          <w:noProof/>
          <w:sz w:val="26"/>
          <w:szCs w:val="26"/>
          <w:lang w:val="lv-LV"/>
        </w:rPr>
        <w:t>Bikovs 29600597</w:t>
      </w:r>
    </w:p>
    <w:sectPr w:rsidR="001A51A6" w:rsidSect="00B61046">
      <w:headerReference w:type="default" r:id="rId9"/>
      <w:footerReference w:type="default" r:id="rId10"/>
      <w:footerReference w:type="first" r:id="rId11"/>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67A8" w14:textId="77777777" w:rsidR="00014025" w:rsidRDefault="00014025">
      <w:r>
        <w:separator/>
      </w:r>
    </w:p>
  </w:endnote>
  <w:endnote w:type="continuationSeparator" w:id="0">
    <w:p w14:paraId="6F4B8E06" w14:textId="77777777" w:rsidR="00014025" w:rsidRDefault="0001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B3BE" w14:textId="77777777" w:rsidR="00AD6D1F" w:rsidRDefault="00014025">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64E" w14:textId="77777777" w:rsidR="00AD6D1F" w:rsidRDefault="00014025">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ACAD" w14:textId="77777777" w:rsidR="00014025" w:rsidRDefault="00014025">
      <w:r>
        <w:separator/>
      </w:r>
    </w:p>
  </w:footnote>
  <w:footnote w:type="continuationSeparator" w:id="0">
    <w:p w14:paraId="0AE02857" w14:textId="77777777" w:rsidR="00014025" w:rsidRDefault="00014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A3FB" w14:textId="77777777" w:rsidR="009D095C" w:rsidRDefault="00014025">
    <w:pPr>
      <w:pStyle w:val="Galvene"/>
      <w:jc w:val="center"/>
    </w:pPr>
    <w:r>
      <w:fldChar w:fldCharType="begin"/>
    </w:r>
    <w:r>
      <w:instrText>PAGE   \* MERGEFORMAT</w:instrText>
    </w:r>
    <w:r>
      <w:fldChar w:fldCharType="separate"/>
    </w:r>
    <w:r>
      <w:rPr>
        <w:lang w:val="lv-LV"/>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4555F"/>
    <w:multiLevelType w:val="hybridMultilevel"/>
    <w:tmpl w:val="8354CE66"/>
    <w:lvl w:ilvl="0" w:tplc="439ACAF0">
      <w:start w:val="1"/>
      <w:numFmt w:val="decimal"/>
      <w:lvlText w:val="%1."/>
      <w:lvlJc w:val="left"/>
      <w:pPr>
        <w:ind w:left="720" w:hanging="360"/>
      </w:pPr>
      <w:rPr>
        <w:rFonts w:hint="default"/>
      </w:rPr>
    </w:lvl>
    <w:lvl w:ilvl="1" w:tplc="0E844AD2" w:tentative="1">
      <w:start w:val="1"/>
      <w:numFmt w:val="lowerLetter"/>
      <w:lvlText w:val="%2."/>
      <w:lvlJc w:val="left"/>
      <w:pPr>
        <w:ind w:left="1440" w:hanging="360"/>
      </w:pPr>
    </w:lvl>
    <w:lvl w:ilvl="2" w:tplc="D7208006" w:tentative="1">
      <w:start w:val="1"/>
      <w:numFmt w:val="lowerRoman"/>
      <w:lvlText w:val="%3."/>
      <w:lvlJc w:val="right"/>
      <w:pPr>
        <w:ind w:left="2160" w:hanging="180"/>
      </w:pPr>
    </w:lvl>
    <w:lvl w:ilvl="3" w:tplc="0346D5B6" w:tentative="1">
      <w:start w:val="1"/>
      <w:numFmt w:val="decimal"/>
      <w:lvlText w:val="%4."/>
      <w:lvlJc w:val="left"/>
      <w:pPr>
        <w:ind w:left="2880" w:hanging="360"/>
      </w:pPr>
    </w:lvl>
    <w:lvl w:ilvl="4" w:tplc="421A5462" w:tentative="1">
      <w:start w:val="1"/>
      <w:numFmt w:val="lowerLetter"/>
      <w:lvlText w:val="%5."/>
      <w:lvlJc w:val="left"/>
      <w:pPr>
        <w:ind w:left="3600" w:hanging="360"/>
      </w:pPr>
    </w:lvl>
    <w:lvl w:ilvl="5" w:tplc="B3E4DC0A" w:tentative="1">
      <w:start w:val="1"/>
      <w:numFmt w:val="lowerRoman"/>
      <w:lvlText w:val="%6."/>
      <w:lvlJc w:val="right"/>
      <w:pPr>
        <w:ind w:left="4320" w:hanging="180"/>
      </w:pPr>
    </w:lvl>
    <w:lvl w:ilvl="6" w:tplc="0756AADA" w:tentative="1">
      <w:start w:val="1"/>
      <w:numFmt w:val="decimal"/>
      <w:lvlText w:val="%7."/>
      <w:lvlJc w:val="left"/>
      <w:pPr>
        <w:ind w:left="5040" w:hanging="360"/>
      </w:pPr>
    </w:lvl>
    <w:lvl w:ilvl="7" w:tplc="F1C47630" w:tentative="1">
      <w:start w:val="1"/>
      <w:numFmt w:val="lowerLetter"/>
      <w:lvlText w:val="%8."/>
      <w:lvlJc w:val="left"/>
      <w:pPr>
        <w:ind w:left="5760" w:hanging="360"/>
      </w:pPr>
    </w:lvl>
    <w:lvl w:ilvl="8" w:tplc="B512EA44" w:tentative="1">
      <w:start w:val="1"/>
      <w:numFmt w:val="lowerRoman"/>
      <w:lvlText w:val="%9."/>
      <w:lvlJc w:val="right"/>
      <w:pPr>
        <w:ind w:left="6480" w:hanging="180"/>
      </w:pPr>
    </w:lvl>
  </w:abstractNum>
  <w:num w:numId="1" w16cid:durableId="742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14025"/>
    <w:rsid w:val="00016039"/>
    <w:rsid w:val="00022182"/>
    <w:rsid w:val="000307B1"/>
    <w:rsid w:val="00035626"/>
    <w:rsid w:val="00054F3E"/>
    <w:rsid w:val="00071DFA"/>
    <w:rsid w:val="00077B86"/>
    <w:rsid w:val="0008766E"/>
    <w:rsid w:val="00092ACF"/>
    <w:rsid w:val="00094A63"/>
    <w:rsid w:val="0009677F"/>
    <w:rsid w:val="000A50D7"/>
    <w:rsid w:val="000C5D7F"/>
    <w:rsid w:val="000E51E5"/>
    <w:rsid w:val="00100206"/>
    <w:rsid w:val="00112951"/>
    <w:rsid w:val="00134860"/>
    <w:rsid w:val="00142D3C"/>
    <w:rsid w:val="001A51A6"/>
    <w:rsid w:val="001C0413"/>
    <w:rsid w:val="001C58BF"/>
    <w:rsid w:val="001C731E"/>
    <w:rsid w:val="001C76CF"/>
    <w:rsid w:val="001D6253"/>
    <w:rsid w:val="001F4D13"/>
    <w:rsid w:val="002001A1"/>
    <w:rsid w:val="00204AED"/>
    <w:rsid w:val="0021183B"/>
    <w:rsid w:val="00212554"/>
    <w:rsid w:val="00213B97"/>
    <w:rsid w:val="00214873"/>
    <w:rsid w:val="0022774F"/>
    <w:rsid w:val="00241266"/>
    <w:rsid w:val="00242DDF"/>
    <w:rsid w:val="00246CE6"/>
    <w:rsid w:val="002610CD"/>
    <w:rsid w:val="002623FF"/>
    <w:rsid w:val="002737A4"/>
    <w:rsid w:val="002755FA"/>
    <w:rsid w:val="002825E6"/>
    <w:rsid w:val="002C569E"/>
    <w:rsid w:val="002C5E34"/>
    <w:rsid w:val="00300EB6"/>
    <w:rsid w:val="003016DA"/>
    <w:rsid w:val="003177A3"/>
    <w:rsid w:val="0033055C"/>
    <w:rsid w:val="00335203"/>
    <w:rsid w:val="00340C39"/>
    <w:rsid w:val="00342F44"/>
    <w:rsid w:val="00361984"/>
    <w:rsid w:val="00382026"/>
    <w:rsid w:val="00395783"/>
    <w:rsid w:val="003A0B49"/>
    <w:rsid w:val="003C0DAE"/>
    <w:rsid w:val="003C6416"/>
    <w:rsid w:val="003D1AF5"/>
    <w:rsid w:val="003E1574"/>
    <w:rsid w:val="00410A08"/>
    <w:rsid w:val="00437D44"/>
    <w:rsid w:val="00480549"/>
    <w:rsid w:val="004A59F1"/>
    <w:rsid w:val="004A6E54"/>
    <w:rsid w:val="004B5DA1"/>
    <w:rsid w:val="004C098C"/>
    <w:rsid w:val="004C2974"/>
    <w:rsid w:val="004D2FAA"/>
    <w:rsid w:val="004D4554"/>
    <w:rsid w:val="004D62C7"/>
    <w:rsid w:val="004E0183"/>
    <w:rsid w:val="004E4BDA"/>
    <w:rsid w:val="004F5D53"/>
    <w:rsid w:val="0050521A"/>
    <w:rsid w:val="00506DD8"/>
    <w:rsid w:val="0051338D"/>
    <w:rsid w:val="00517434"/>
    <w:rsid w:val="005214DB"/>
    <w:rsid w:val="00535607"/>
    <w:rsid w:val="00546643"/>
    <w:rsid w:val="0054721F"/>
    <w:rsid w:val="0056202D"/>
    <w:rsid w:val="00562D5D"/>
    <w:rsid w:val="00565AB3"/>
    <w:rsid w:val="00593495"/>
    <w:rsid w:val="005A5190"/>
    <w:rsid w:val="005B17C3"/>
    <w:rsid w:val="005E2C0B"/>
    <w:rsid w:val="005F19A7"/>
    <w:rsid w:val="005F431D"/>
    <w:rsid w:val="005F4A17"/>
    <w:rsid w:val="005F7760"/>
    <w:rsid w:val="0064281A"/>
    <w:rsid w:val="00651058"/>
    <w:rsid w:val="00671F14"/>
    <w:rsid w:val="00676B33"/>
    <w:rsid w:val="0068008E"/>
    <w:rsid w:val="006A2DC7"/>
    <w:rsid w:val="006A374C"/>
    <w:rsid w:val="006B46EC"/>
    <w:rsid w:val="006C7A42"/>
    <w:rsid w:val="006D5F8E"/>
    <w:rsid w:val="006D67E0"/>
    <w:rsid w:val="006E4C9B"/>
    <w:rsid w:val="006F4E04"/>
    <w:rsid w:val="00702070"/>
    <w:rsid w:val="007113AE"/>
    <w:rsid w:val="00711605"/>
    <w:rsid w:val="007312E5"/>
    <w:rsid w:val="0075016C"/>
    <w:rsid w:val="0076796D"/>
    <w:rsid w:val="0077210F"/>
    <w:rsid w:val="0079582E"/>
    <w:rsid w:val="007B3C10"/>
    <w:rsid w:val="007B4D9C"/>
    <w:rsid w:val="007D5BD7"/>
    <w:rsid w:val="007D6E66"/>
    <w:rsid w:val="007E3C69"/>
    <w:rsid w:val="007E4CB2"/>
    <w:rsid w:val="007F1E6A"/>
    <w:rsid w:val="00806AF2"/>
    <w:rsid w:val="00833DE5"/>
    <w:rsid w:val="00855384"/>
    <w:rsid w:val="00864118"/>
    <w:rsid w:val="00870A70"/>
    <w:rsid w:val="00875961"/>
    <w:rsid w:val="00875976"/>
    <w:rsid w:val="00877EFD"/>
    <w:rsid w:val="00887179"/>
    <w:rsid w:val="008923D0"/>
    <w:rsid w:val="008938FE"/>
    <w:rsid w:val="008A29F0"/>
    <w:rsid w:val="008B43EC"/>
    <w:rsid w:val="008B57C7"/>
    <w:rsid w:val="008B739A"/>
    <w:rsid w:val="008C2D41"/>
    <w:rsid w:val="008D42E2"/>
    <w:rsid w:val="0090625D"/>
    <w:rsid w:val="00907B74"/>
    <w:rsid w:val="00911845"/>
    <w:rsid w:val="00916F6D"/>
    <w:rsid w:val="009206E6"/>
    <w:rsid w:val="00926E81"/>
    <w:rsid w:val="009332CC"/>
    <w:rsid w:val="00951E4F"/>
    <w:rsid w:val="00964FCB"/>
    <w:rsid w:val="00966A27"/>
    <w:rsid w:val="009740F5"/>
    <w:rsid w:val="00975B42"/>
    <w:rsid w:val="009B3B19"/>
    <w:rsid w:val="009C1DD1"/>
    <w:rsid w:val="009D095C"/>
    <w:rsid w:val="00A2394C"/>
    <w:rsid w:val="00A248BD"/>
    <w:rsid w:val="00A254B5"/>
    <w:rsid w:val="00A35778"/>
    <w:rsid w:val="00A35D61"/>
    <w:rsid w:val="00A40198"/>
    <w:rsid w:val="00A46871"/>
    <w:rsid w:val="00A55BE7"/>
    <w:rsid w:val="00A87AF7"/>
    <w:rsid w:val="00A92528"/>
    <w:rsid w:val="00AD48C3"/>
    <w:rsid w:val="00AD6D1F"/>
    <w:rsid w:val="00AD7EA1"/>
    <w:rsid w:val="00AE0311"/>
    <w:rsid w:val="00AE6F9F"/>
    <w:rsid w:val="00AE7FF1"/>
    <w:rsid w:val="00AF3194"/>
    <w:rsid w:val="00B16624"/>
    <w:rsid w:val="00B25244"/>
    <w:rsid w:val="00B311E9"/>
    <w:rsid w:val="00B40E11"/>
    <w:rsid w:val="00B4100C"/>
    <w:rsid w:val="00B61046"/>
    <w:rsid w:val="00B676AE"/>
    <w:rsid w:val="00B80920"/>
    <w:rsid w:val="00B962DE"/>
    <w:rsid w:val="00BA6AAC"/>
    <w:rsid w:val="00BA7C15"/>
    <w:rsid w:val="00BB613D"/>
    <w:rsid w:val="00BB729D"/>
    <w:rsid w:val="00BC2CD6"/>
    <w:rsid w:val="00BF7ECF"/>
    <w:rsid w:val="00C02AEF"/>
    <w:rsid w:val="00C12113"/>
    <w:rsid w:val="00C2204C"/>
    <w:rsid w:val="00C25BF2"/>
    <w:rsid w:val="00C26321"/>
    <w:rsid w:val="00C31D5D"/>
    <w:rsid w:val="00C4676F"/>
    <w:rsid w:val="00C559AE"/>
    <w:rsid w:val="00C5673F"/>
    <w:rsid w:val="00C6172C"/>
    <w:rsid w:val="00C65561"/>
    <w:rsid w:val="00C90512"/>
    <w:rsid w:val="00CA1631"/>
    <w:rsid w:val="00CC16D5"/>
    <w:rsid w:val="00CD4ACD"/>
    <w:rsid w:val="00CE16CA"/>
    <w:rsid w:val="00CF5869"/>
    <w:rsid w:val="00CF6E8F"/>
    <w:rsid w:val="00D02941"/>
    <w:rsid w:val="00D257A8"/>
    <w:rsid w:val="00D26FB3"/>
    <w:rsid w:val="00D43964"/>
    <w:rsid w:val="00D516B2"/>
    <w:rsid w:val="00D523C5"/>
    <w:rsid w:val="00DA6A5A"/>
    <w:rsid w:val="00DC6A2D"/>
    <w:rsid w:val="00DD04A3"/>
    <w:rsid w:val="00E0576E"/>
    <w:rsid w:val="00E23D8A"/>
    <w:rsid w:val="00E32D88"/>
    <w:rsid w:val="00E62F22"/>
    <w:rsid w:val="00E65690"/>
    <w:rsid w:val="00E7115C"/>
    <w:rsid w:val="00E75E07"/>
    <w:rsid w:val="00EA183D"/>
    <w:rsid w:val="00EB04D0"/>
    <w:rsid w:val="00EB1F7D"/>
    <w:rsid w:val="00EC1609"/>
    <w:rsid w:val="00ED12D1"/>
    <w:rsid w:val="00ED267B"/>
    <w:rsid w:val="00ED4110"/>
    <w:rsid w:val="00EE3DEA"/>
    <w:rsid w:val="00EE65CE"/>
    <w:rsid w:val="00EF497E"/>
    <w:rsid w:val="00F007E6"/>
    <w:rsid w:val="00F034C8"/>
    <w:rsid w:val="00F32CAB"/>
    <w:rsid w:val="00F45DA1"/>
    <w:rsid w:val="00F55FEB"/>
    <w:rsid w:val="00F75D4F"/>
    <w:rsid w:val="00F90BB7"/>
    <w:rsid w:val="00FA18E6"/>
    <w:rsid w:val="00FA24B9"/>
    <w:rsid w:val="00FB0581"/>
    <w:rsid w:val="00FB4614"/>
    <w:rsid w:val="00FC6970"/>
    <w:rsid w:val="00FD048D"/>
    <w:rsid w:val="00FD5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901714"/>
  <w15:chartTrackingRefBased/>
  <w15:docId w15:val="{DDDEA3CC-B2BD-4FF8-9FEB-DBC7EB5E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1A51A6"/>
    <w:rPr>
      <w:color w:val="0563C1"/>
      <w:u w:val="single"/>
    </w:rPr>
  </w:style>
  <w:style w:type="character" w:styleId="Izmantotahipersaite">
    <w:name w:val="FollowedHyperlink"/>
    <w:uiPriority w:val="99"/>
    <w:unhideWhenUsed/>
    <w:rsid w:val="001A51A6"/>
    <w:rPr>
      <w:color w:val="954F72"/>
      <w:u w:val="single"/>
    </w:rPr>
  </w:style>
  <w:style w:type="paragraph" w:styleId="Prskatjums">
    <w:name w:val="Revision"/>
    <w:hidden/>
    <w:uiPriority w:val="99"/>
    <w:semiHidden/>
    <w:rsid w:val="00926E81"/>
    <w:rPr>
      <w:sz w:val="24"/>
      <w:szCs w:val="24"/>
      <w:lang w:val="en-US" w:eastAsia="en-US"/>
    </w:rPr>
  </w:style>
  <w:style w:type="character" w:customStyle="1" w:styleId="GalveneRakstz">
    <w:name w:val="Galvene Rakstz."/>
    <w:link w:val="Galvene"/>
    <w:uiPriority w:val="99"/>
    <w:rsid w:val="009D095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2270</Words>
  <Characters>1295</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Astrīda Spuriņa</cp:lastModifiedBy>
  <cp:revision>2</cp:revision>
  <cp:lastPrinted>2008-02-21T11:46:00Z</cp:lastPrinted>
  <dcterms:created xsi:type="dcterms:W3CDTF">2025-03-07T13:35:00Z</dcterms:created>
  <dcterms:modified xsi:type="dcterms:W3CDTF">2025-03-07T13:35:00Z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