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04CC" w14:textId="77777777" w:rsidR="000933F8" w:rsidRPr="00FF311E" w:rsidRDefault="000A0A90" w:rsidP="000933F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FF311E">
        <w:rPr>
          <w:rFonts w:ascii="Times New Roman" w:hAnsi="Times New Roman" w:cs="Times New Roman"/>
          <w:noProof/>
        </w:rPr>
        <w:drawing>
          <wp:inline distT="0" distB="0" distL="0" distR="0" wp14:anchorId="32D60513" wp14:editId="32D60514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56656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04CD" w14:textId="77777777" w:rsidR="00C95C98" w:rsidRPr="00FF311E" w:rsidRDefault="000A0A90" w:rsidP="00701A1C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</w:pPr>
      <w:r w:rsidRPr="00FF311E"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  <w:t>RĪGAS DOME</w:t>
      </w:r>
    </w:p>
    <w:p w14:paraId="32D604CE" w14:textId="77777777" w:rsidR="00C95C98" w:rsidRPr="00FF311E" w:rsidRDefault="000A0A90" w:rsidP="00C95C9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FF311E">
        <w:rPr>
          <w:rFonts w:ascii="Times New Roman" w:eastAsia="Times New Roman" w:hAnsi="Times New Roman" w:cs="Times New Roman"/>
          <w:noProof/>
        </w:rPr>
        <w:t>Rātslaukums 1, Rīga, LV-1539, tālrunis 67012222, e-pasts: riga@riga.lv</w:t>
      </w:r>
    </w:p>
    <w:p w14:paraId="32D604CF" w14:textId="77777777" w:rsidR="00C95C98" w:rsidRPr="00FF311E" w:rsidRDefault="00C95C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lv-LV"/>
        </w:rPr>
      </w:pPr>
    </w:p>
    <w:p w14:paraId="32D604D0" w14:textId="77777777" w:rsidR="00C95C98" w:rsidRPr="00FF311E" w:rsidRDefault="000A0A90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</w:pPr>
      <w:r w:rsidRPr="00FF311E"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  <w:t>saistošie noteikumi</w:t>
      </w:r>
    </w:p>
    <w:p w14:paraId="32D604D1" w14:textId="77777777" w:rsidR="00C95C98" w:rsidRPr="00FF311E" w:rsidRDefault="000A0A90" w:rsidP="00AB5B49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  <w:r w:rsidRPr="00FF311E"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5387"/>
      </w:tblGrid>
      <w:tr w:rsidR="003C2ECE" w14:paraId="32D604D4" w14:textId="77777777" w:rsidTr="00B00798">
        <w:tc>
          <w:tcPr>
            <w:tcW w:w="4327" w:type="dxa"/>
            <w:vAlign w:val="bottom"/>
          </w:tcPr>
          <w:p w14:paraId="32D604D2" w14:textId="77777777" w:rsidR="00AB5B49" w:rsidRPr="00664F9F" w:rsidRDefault="000A0A90" w:rsidP="00F27E7F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2022. gada 24. augustā</w:t>
            </w:r>
          </w:p>
        </w:tc>
        <w:tc>
          <w:tcPr>
            <w:tcW w:w="5387" w:type="dxa"/>
            <w:vAlign w:val="bottom"/>
          </w:tcPr>
          <w:p w14:paraId="32D604D3" w14:textId="77777777" w:rsidR="00AB5B49" w:rsidRPr="00664F9F" w:rsidRDefault="000A0A90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Nr. RD-22-153-sn</w:t>
            </w:r>
          </w:p>
        </w:tc>
      </w:tr>
      <w:tr w:rsidR="003C2ECE" w14:paraId="32D604D7" w14:textId="77777777" w:rsidTr="00B00798">
        <w:tc>
          <w:tcPr>
            <w:tcW w:w="4327" w:type="dxa"/>
            <w:vAlign w:val="bottom"/>
          </w:tcPr>
          <w:p w14:paraId="32D604D5" w14:textId="77777777" w:rsidR="00AB5B49" w:rsidRPr="00664F9F" w:rsidRDefault="00AB5B49" w:rsidP="00F27E7F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14:paraId="32D604D6" w14:textId="77777777" w:rsidR="00AB5B49" w:rsidRPr="00664F9F" w:rsidRDefault="000A0A90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(prot. Nr. 68, 103. §)</w:t>
            </w:r>
          </w:p>
        </w:tc>
      </w:tr>
    </w:tbl>
    <w:p w14:paraId="32D604D8" w14:textId="77777777" w:rsidR="00AB5B49" w:rsidRPr="00FF311E" w:rsidRDefault="00AB5B49" w:rsidP="00DC4851">
      <w:pPr>
        <w:spacing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9" w14:textId="77777777" w:rsidR="00C95C98" w:rsidRPr="00FF311E" w:rsidRDefault="000A0A90" w:rsidP="00701A1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</w:pPr>
      <w:r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Kārtība, kādā Rīgas valstspilsētas pašvaldība nodrošina izglītojamo ēdināšanas</w:t>
      </w:r>
      <w:r w:rsidR="005D21F2"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 xml:space="preserve"> pakalpojuma</w:t>
      </w:r>
      <w:r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 xml:space="preserve"> līdzfinansējumu</w:t>
      </w:r>
    </w:p>
    <w:p w14:paraId="32D604DA" w14:textId="76320AF6" w:rsidR="008F6454" w:rsidRDefault="008F6454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78DB7E11" w14:textId="2CB0BD1E" w:rsidR="00F05AC0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</w:pP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Grozījumi ar</w:t>
      </w:r>
      <w:r w:rsidR="005E3D7C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 xml:space="preserve">:  </w:t>
      </w: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RD 19.10.2022. saistošajiem noteikumiem Nr. RD-22-167-sn</w:t>
      </w:r>
      <w:r w:rsidR="005E3D7C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;</w:t>
      </w:r>
    </w:p>
    <w:p w14:paraId="5D54BDD6" w14:textId="161C6321" w:rsidR="005E3D7C" w:rsidRPr="00F05AC0" w:rsidRDefault="005E3D7C" w:rsidP="005E3D7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 xml:space="preserve">                        </w:t>
      </w: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 xml:space="preserve">RD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30</w:t>
      </w: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.1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1</w:t>
      </w: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.2022. saistošajiem noteikumiem Nr. RD-22-1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7</w:t>
      </w: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6-sn</w:t>
      </w:r>
    </w:p>
    <w:p w14:paraId="31CB1AA4" w14:textId="57C9CF28" w:rsidR="00F05AC0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741D199B" w14:textId="77777777" w:rsidR="00F05AC0" w:rsidRPr="00FF311E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B" w14:textId="77777777" w:rsidR="008F6454" w:rsidRPr="00FF311E" w:rsidRDefault="000A0A90" w:rsidP="008F6454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hAnsi="Times New Roman" w:cs="Times New Roman"/>
          <w:noProof/>
          <w:sz w:val="26"/>
          <w:szCs w:val="26"/>
        </w:rPr>
        <w:t xml:space="preserve">Izdoti saskaņā ar 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 xml:space="preserve">likuma “Par pašvaldībām” </w:t>
      </w:r>
      <w:r w:rsidR="00CA34EB" w:rsidRPr="00FF311E">
        <w:rPr>
          <w:rFonts w:ascii="Times New Roman" w:hAnsi="Times New Roman" w:cs="Times New Roman"/>
          <w:noProof/>
          <w:sz w:val="26"/>
          <w:szCs w:val="26"/>
        </w:rPr>
        <w:t>43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>.</w:t>
      </w:r>
      <w:r w:rsidR="00E228CD">
        <w:rPr>
          <w:rFonts w:ascii="Times New Roman" w:hAnsi="Times New Roman" w:cs="Times New Roman"/>
          <w:noProof/>
          <w:sz w:val="26"/>
          <w:szCs w:val="26"/>
        </w:rPr>
        <w:t> 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>panta trešo daļu</w:t>
      </w:r>
    </w:p>
    <w:p w14:paraId="32D604DC" w14:textId="77777777" w:rsidR="008F6454" w:rsidRPr="00FF311E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D" w14:textId="77777777" w:rsidR="008F6454" w:rsidRPr="00FF311E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Saistošie noteikumi (turpmāk – noteikumi) nosaka Rīgas valstspilsētas pašvaldības (turpmāk – pašvaldība) izglītības iestāžu (turpmāk – iestāde) izglītojamo ēdināšanas pakalpojum</w:t>
      </w:r>
      <w:r w:rsidR="00CA34EB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līdzfinansējuma (turpmāk – pašvaldības līdzfinansējums) saņemšanas nosacījumus.</w:t>
      </w:r>
    </w:p>
    <w:p w14:paraId="32D604DF" w14:textId="77777777" w:rsidR="00DC180F" w:rsidRPr="00FF311E" w:rsidRDefault="00DC180F" w:rsidP="00DC180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0" w14:textId="77777777" w:rsidR="00DC180F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1" w:name="_Hlk111205157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Izvērtējot pašvaldības budžeta iespējas un saistības sociālo tiesību jomā, pašvaldība, īstenojot brīvprātīgo funkciju, ar lēmumu </w:t>
      </w:r>
      <w:bookmarkEnd w:id="1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var noteikt tās izglītojamo kategorijas, kuru ēdināšanas izmaksas sedz pašvaldība pilnā apmērā vai daļēji. </w:t>
      </w:r>
    </w:p>
    <w:p w14:paraId="32D604E1" w14:textId="77777777" w:rsidR="00DF4DBC" w:rsidRPr="00FF311E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2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Sociālais statuss noteikumu izpratnē ir statuss, kas atbilst vismaz vienam no šādiem kritērijiem:</w:t>
      </w:r>
    </w:p>
    <w:p w14:paraId="32D604E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atbilst trūcīgas ģimenes statusam saskaņā ar Rīgas Sociālā dienesta lēmumu;</w:t>
      </w:r>
    </w:p>
    <w:p w14:paraId="32D604E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atbilst maznodrošinātas ģimenes statusam saskaņā ar Rīgas Sociālā dienesta lēmumu;</w:t>
      </w:r>
    </w:p>
    <w:p w14:paraId="32D604E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ir reģistrēta Rīgas valstspilsētas pašvaldības ģimeņu atbalsta reģistrā;</w:t>
      </w:r>
    </w:p>
    <w:p w14:paraId="32D604E6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izglītojamam ir noteikta invaliditāte Invaliditātes likumā paredzētajā kārtībā;</w:t>
      </w:r>
    </w:p>
    <w:p w14:paraId="32D604E7" w14:textId="3A8DE67C" w:rsidR="00DF4DBC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F05AC0" w:rsidRPr="004D717D">
        <w:rPr>
          <w:rFonts w:ascii="Times New Roman" w:eastAsia="Times New Roman" w:hAnsi="Times New Roman" w:cs="Times New Roman"/>
          <w:noProof/>
          <w:sz w:val="26"/>
          <w:szCs w:val="26"/>
        </w:rPr>
        <w:t>izglītojamais ir nodots ārpusģimenes aprūpē saskaņā ar bāriņtiesas lēmumu</w:t>
      </w:r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E8" w14:textId="64DD7D6D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2" w:name="_Hlk111204565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bookmarkEnd w:id="2"/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F05AC0" w:rsidRPr="00F05AC0">
        <w:rPr>
          <w:rFonts w:ascii="Times New Roman" w:eastAsia="Times New Roman" w:hAnsi="Times New Roman" w:cs="Times New Roman"/>
          <w:i/>
          <w:iCs/>
          <w:noProof/>
        </w:rPr>
        <w:t>(svītrots ar RD 19.10.2022. saistošajiem noteikumiem Nr. RD-22-167-sn)</w:t>
      </w:r>
    </w:p>
    <w:p w14:paraId="242AC32B" w14:textId="32A3A242" w:rsidR="00F05AC0" w:rsidRDefault="000A0A9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F05AC0" w:rsidRPr="00F05AC0">
        <w:rPr>
          <w:rFonts w:ascii="Times New Roman" w:eastAsia="Times New Roman" w:hAnsi="Times New Roman" w:cs="Times New Roman"/>
          <w:i/>
          <w:iCs/>
          <w:noProof/>
        </w:rPr>
        <w:t>(svītrots ar RD 19.10.2022. saistošajiem noteikumiem Nr. RD-22-167-sn)</w:t>
      </w:r>
    </w:p>
    <w:p w14:paraId="1E375FD6" w14:textId="77777777" w:rsidR="00F05AC0" w:rsidRPr="004D717D" w:rsidRDefault="00F05AC0" w:rsidP="00F05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3.8. pašvaldības izglītības iestādes izglītojamam sociāl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ā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s krīzes situācijā saskaņā ar izglītības iestādes izveidotas komisijas lēmumu ir piešķirtas tiesības saņemt pašvaldības apmaksātu ēdināšanas pakalpojumu noteiktā laika periodā, kas nepārsniedz 60 dienas;</w:t>
      </w:r>
    </w:p>
    <w:p w14:paraId="4D645EC5" w14:textId="2EC4BBC7" w:rsidR="00F05AC0" w:rsidRDefault="00F05AC0" w:rsidP="00F05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3.9. izglītojamais ir Ukrainas civiliedzīvotājs Ukrainas civiliedzīvotāju atbalsta likuma izpratnē, kas apgūst izglītības programmu Rīgas domes lēmumā par izglītojamo ēdināšanu noteiktajās izglītības iestādēs;</w:t>
      </w:r>
    </w:p>
    <w:p w14:paraId="2CC860D4" w14:textId="1E949717" w:rsidR="00F05AC0" w:rsidRPr="00F05AC0" w:rsidRDefault="00F05AC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3.10. izglītojamais apgūst pamatizglītības programmu speciālās izglītības iestādē.</w:t>
      </w:r>
    </w:p>
    <w:p w14:paraId="75EC4BC9" w14:textId="37B38EE8" w:rsidR="00F05AC0" w:rsidRPr="00F05AC0" w:rsidRDefault="00F05AC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05AC0">
        <w:rPr>
          <w:rFonts w:ascii="Times New Roman" w:eastAsia="Times New Roman" w:hAnsi="Times New Roman" w:cs="Times New Roman"/>
          <w:i/>
          <w:iCs/>
          <w:noProof/>
        </w:rPr>
        <w:t>(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 xml:space="preserve">Ar grozījumiem, kas izdarīti ar 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RD 19.10.2022. saistoš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 xml:space="preserve">ajiem 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noteikum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>iem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 xml:space="preserve"> Nr. RD-22-167-sn</w:t>
      </w:r>
      <w:r>
        <w:rPr>
          <w:rFonts w:ascii="Times New Roman" w:eastAsia="Times New Roman" w:hAnsi="Times New Roman" w:cs="Times New Roman"/>
          <w:i/>
          <w:iCs/>
          <w:noProof/>
        </w:rPr>
        <w:t>, piemērojam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>i</w:t>
      </w:r>
      <w:r>
        <w:rPr>
          <w:rFonts w:ascii="Times New Roman" w:eastAsia="Times New Roman" w:hAnsi="Times New Roman" w:cs="Times New Roman"/>
          <w:i/>
          <w:iCs/>
          <w:noProof/>
        </w:rPr>
        <w:t xml:space="preserve"> no 01.10.2022.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)</w:t>
      </w:r>
    </w:p>
    <w:p w14:paraId="53E56EDE" w14:textId="124C6930" w:rsidR="00F05AC0" w:rsidRDefault="00F05AC0" w:rsidP="00DC1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86C1ED2" w14:textId="4E9AC389" w:rsidR="0017358B" w:rsidRDefault="0017358B" w:rsidP="00DC1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1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Pašvaldība turpina segt izglītojamā ēdināšanas izmaksas 60 dienas pēc trūcīgas vai maznodrošinātas mājsaimniecības statusa beigu datuma pašvaldības noteiktajā apmērā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6E219569" w14:textId="77777777" w:rsidR="0017358B" w:rsidRPr="00F05AC0" w:rsidRDefault="0017358B" w:rsidP="00173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05AC0">
        <w:rPr>
          <w:rFonts w:ascii="Times New Roman" w:eastAsia="Times New Roman" w:hAnsi="Times New Roman" w:cs="Times New Roman"/>
          <w:i/>
          <w:iCs/>
          <w:noProof/>
        </w:rPr>
        <w:t>(RD 19.10.2022. saistošo noteikumu Nr. RD-22-167-sn redakcijā</w:t>
      </w:r>
      <w:r>
        <w:rPr>
          <w:rFonts w:ascii="Times New Roman" w:eastAsia="Times New Roman" w:hAnsi="Times New Roman" w:cs="Times New Roman"/>
          <w:i/>
          <w:iCs/>
          <w:noProof/>
        </w:rPr>
        <w:t>, piemērojams no 01.10.2022.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)</w:t>
      </w:r>
    </w:p>
    <w:p w14:paraId="196DC7B2" w14:textId="77777777" w:rsidR="0017358B" w:rsidRDefault="0017358B" w:rsidP="001735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B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3" w:name="_Hlk111203280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saskaņā ar pašvaldības lēmum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ārēj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normatīv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akt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bookmarkEnd w:id="3"/>
      <w:r w:rsidR="00736CAB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attiecībā uz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</w:t>
      </w:r>
      <w:r w:rsidR="00736CAB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ar sociālo statusu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noteikts, ka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izglītojamā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pilnībā tiek segt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 valsts vai pašvaldības budžeta līdzekļiem, tad 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vecākam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(persona</w:t>
      </w:r>
      <w:r w:rsidR="00FE21B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kas realizē </w:t>
      </w:r>
      <w:r w:rsidR="00B606BB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aizgādību)</w:t>
      </w:r>
      <w:r w:rsidR="00FE22C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vai 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pilngadīgajam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izglītojamam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nav pienākum</w:t>
      </w:r>
      <w:r w:rsidR="00B0243C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slēgt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līgumu (turpmāk – līgums)</w:t>
      </w:r>
      <w:r w:rsidRPr="00FF311E">
        <w:rPr>
          <w:noProof/>
        </w:rPr>
        <w:t xml:space="preserve">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ar komersantu, kas sniedz ēdināšanas pakalpojumu iestādē (turpmāk – ēdināšanas pakalpojuma sniedzējs).</w:t>
      </w:r>
    </w:p>
    <w:p w14:paraId="32D604EC" w14:textId="77777777" w:rsidR="00DF4DBC" w:rsidRPr="00FF311E" w:rsidRDefault="00DF4DBC" w:rsidP="00DF4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D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saskaņā ar pašvaldības lēmumu vai ārējo normatīvo aktu attiecībā uz izglītojamo ir noteikts, ka izglītojamā ēdināšanas pakalpojums daļēji tiek segts no pašvaldības budžeta līdzekļiem, tad, l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 saņemtu pašvaldības līdzfinansējumu, vecāks</w:t>
      </w:r>
      <w:r w:rsidR="00C2208F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pilngadīg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ais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2208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izglītojamais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ēdināšanas pakalpojuma sniedzējs slēdz līgumu šādā kārtībā:</w:t>
      </w:r>
    </w:p>
    <w:p w14:paraId="32D604E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līgumu slēdz desmit dienu laikā pēc mācību </w:t>
      </w:r>
      <w:r w:rsidR="00F1500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uzsākšanas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iestādē </w:t>
      </w:r>
      <w:r w:rsidR="00DB6DD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vienā no šādiem veidiem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:</w:t>
      </w:r>
    </w:p>
    <w:p w14:paraId="32D604EF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kā elektronisku distances līgumu, kuru vecāks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sniedzēja informācijas sistēmā;</w:t>
      </w:r>
    </w:p>
    <w:p w14:paraId="32D604F0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kā elektronisku līgumu, kuru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un vecāks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ar drošu elektronisko parakstu;</w:t>
      </w:r>
    </w:p>
    <w:p w14:paraId="32D604F1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papīra līguma formā, kuru pašrocīgi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un vecāks</w:t>
      </w:r>
      <w:r w:rsidR="00F15F8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F15F83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2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līgum</w:t>
      </w:r>
      <w:r w:rsidR="005806F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slēdz uz nenoteiktu laiku, paredzot, ka līgums tiek izbeigts pēc izglītojamā atskaitīšanas no iestādes vai noteikumos noteiktajā kārtībā</w:t>
      </w:r>
      <w:r w:rsidR="00C1561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saņemot vecāka</w:t>
      </w:r>
      <w:r w:rsidR="00846C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atteikumu no izglītojamā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sniedzējs neparedz maksu par elektronisku līguma noslēgšanu un distances saziņas līdzekļa izmantošanu;</w:t>
      </w:r>
    </w:p>
    <w:p w14:paraId="32D604F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var paredzēt maksu par piegādes, pasta izdevumiem un citiem izdevumiem par līguma un rēķinu sagatavošanu un piegādi papīra formā;</w:t>
      </w:r>
    </w:p>
    <w:p w14:paraId="32D604F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līgums paredz norēķinus bezskaidras naudas norēķinu veidā;</w:t>
      </w:r>
    </w:p>
    <w:p w14:paraId="32D604F6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sniedzējs līgumā skaidri un saprotami </w:t>
      </w:r>
      <w:r w:rsidR="009F48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ietver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šādu informāciju:</w:t>
      </w:r>
    </w:p>
    <w:p w14:paraId="32D604F7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sniedzēja identitāte, tai skaitā ēdināšanas pakalpojuma sniedzēja nosaukums, juridiskā adrese, tālruņa numurs un elektroniskā pasta adrese, tiešsaistes saziņas papildu līdzekļi, kas garantē rakstisku komunikāciju un nodrošina, ka vecāks 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var ātri sazināties ar ēdināšanas pakalpojuma sniedzēju, adrese, uz kuru var adresēt sūdzīb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un norēķinu rekvizīti;</w:t>
      </w:r>
    </w:p>
    <w:p w14:paraId="32D604F8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identitāte, tai skaitā izglītojamā vārds, uzvārds, personas kods, iestāde un klase vai grupa;</w:t>
      </w:r>
    </w:p>
    <w:p w14:paraId="32D604F9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pakalpojuma </w:t>
      </w:r>
      <w:bookmarkStart w:id="4" w:name="_Hlk111205604"/>
      <w:r w:rsidR="00C1561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kopēj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ā vienības cena</w:t>
      </w:r>
      <w:bookmarkEnd w:id="4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pašvaldības līdzfinansējuma daļa un daļa, kuru sedz vecāks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5F2C29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ieskaitot nodokļus un nodevas;</w:t>
      </w:r>
    </w:p>
    <w:p w14:paraId="32D604FA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5" w:name="_Hlk111448158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periods, par kuru tiks veikti norēķini, un perioda maksas aprēķināšanas veids;</w:t>
      </w:r>
    </w:p>
    <w:bookmarkEnd w:id="5"/>
    <w:p w14:paraId="32D604FB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attiecināms, piegādes, pasta izdevumi vai citi izdevumi par līguma un rēķinu sagatavošanu un piegādi papīra formā;</w:t>
      </w:r>
    </w:p>
    <w:p w14:paraId="32D604FC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pakalpojuma izpildes noteikumi, termiņš, līdz kuram ēdināšanas pakalpojuma sniedzējs apņemas sniegt pakalpojumu, un sūdzību izskatīšanas kārtība;</w:t>
      </w:r>
    </w:p>
    <w:p w14:paraId="32D604FD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atteikuma </w:t>
      </w:r>
      <w:r w:rsidR="00CA199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gadījumā – informācija par atteikuma tiesību izmantošanas nosacījumiem, termiņu un kārtību, kā arī atteikuma veidlapa;</w:t>
      </w:r>
    </w:p>
    <w:p w14:paraId="32D604F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5.6.8.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informācija par to, ka vecāks 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nevar izmantot atteikuma 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tiesības par faktiski sniegt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F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5.6.9.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informācija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par vecāka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tiesībām, ja ēdināšanas pakalpojums neatbilst līguma noteikumiem;</w:t>
      </w:r>
    </w:p>
    <w:p w14:paraId="32D60500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5.6.10.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līguma izbeigšanas nosacījumi;</w:t>
      </w:r>
    </w:p>
    <w:p w14:paraId="32D60501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informācija par pirmo iemaksu vai citām finanšu garantijām, kuras nodrošina vecāks pēc ēdināšanas pakalpojuma sniedzēja pieprasījuma, kā arī to nosacījumi, ja attiecināms.</w:t>
      </w:r>
    </w:p>
    <w:p w14:paraId="32D60502" w14:textId="77777777" w:rsidR="00DF4DBC" w:rsidRPr="00FF311E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vecāks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pilngadīgais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nav noslēdzis līgumu desmit dienu laikā pēc mācību 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uz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sāk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šanas ie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stādē, tad:</w:t>
      </w:r>
    </w:p>
    <w:p w14:paraId="32D6050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sniedzējs ar iestādes starpniecību piecu dienu laikā nosūta vecākam un pilngadīgajam izglītojamam atgādinājumu noslēgt līgumu;</w:t>
      </w:r>
    </w:p>
    <w:p w14:paraId="32D6050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atgādinājumā note</w:t>
      </w:r>
      <w:r w:rsidR="001D39C1"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ktajā termiņā vecāks vai pilngadīgais izglītojamais neparaksta līgumu, tad pašvaldības līdzfinansējums izglītojamam netiek nodrošināts līdz līguma noslēgšanas brīdim.</w:t>
      </w:r>
    </w:p>
    <w:p w14:paraId="32D60506" w14:textId="77777777" w:rsidR="00DF4DBC" w:rsidRPr="00FF311E" w:rsidRDefault="000A0A90" w:rsidP="00DF4DB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</w:p>
    <w:p w14:paraId="32D60507" w14:textId="53733849" w:rsidR="00C95C98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>Ja</w:t>
      </w:r>
      <w:r w:rsidR="005E3D7C" w:rsidRPr="00303E6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izglītojamā ēdināšanas pakalpojums pilnībā vai daļēji tiek segts no valsts vai pašvaldības budžeta līdzekļiem, </w:t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>tad v</w:t>
      </w:r>
      <w:r w:rsidR="005E3D7C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ecākam vai pilngadīgajam izglītojamam ir pienākums līdz </w:t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kārtējās </w:t>
      </w:r>
      <w:r w:rsidR="005E3D7C" w:rsidRPr="00FF311E">
        <w:rPr>
          <w:rFonts w:ascii="Times New Roman" w:eastAsia="Times New Roman" w:hAnsi="Times New Roman" w:cs="Times New Roman"/>
          <w:noProof/>
          <w:sz w:val="26"/>
          <w:szCs w:val="26"/>
        </w:rPr>
        <w:t>dienas plkst.</w:t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7</w:t>
      </w:r>
      <w:r w:rsidR="005E3D7C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.00 informēt, ka </w:t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>attiecīgajā dienā</w:t>
      </w:r>
      <w:r w:rsidR="005E3D7C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izglītojam</w:t>
      </w:r>
      <w:r w:rsidR="005E3D7C">
        <w:rPr>
          <w:rFonts w:ascii="Times New Roman" w:eastAsia="Times New Roman" w:hAnsi="Times New Roman" w:cs="Times New Roman"/>
          <w:noProof/>
          <w:sz w:val="26"/>
          <w:szCs w:val="26"/>
        </w:rPr>
        <w:t>am ēdināšanas pakalpojums nav nepieciešams, piesakot kavējumu līgumā vai iestādes noteiktajā kārtībā</w:t>
      </w:r>
      <w:r w:rsidR="005E3D7C" w:rsidRPr="00DB616B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32D60508" w14:textId="7E9D057B" w:rsidR="001E56CF" w:rsidRPr="005E3D7C" w:rsidRDefault="005E3D7C" w:rsidP="001E56C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5E3D7C">
        <w:rPr>
          <w:rFonts w:ascii="Times New Roman" w:eastAsia="Times New Roman" w:hAnsi="Times New Roman" w:cs="Times New Roman"/>
          <w:i/>
          <w:iCs/>
          <w:noProof/>
        </w:rPr>
        <w:t>(RD 30.11.2022. saistošo noteikumu Nr. RD-22-176-sn redakcijā)</w:t>
      </w:r>
    </w:p>
    <w:p w14:paraId="3CBF1A49" w14:textId="77777777" w:rsidR="005E3D7C" w:rsidRPr="005E3D7C" w:rsidRDefault="005E3D7C" w:rsidP="001E56C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noProof/>
        </w:rPr>
      </w:pPr>
    </w:p>
    <w:p w14:paraId="32D60509" w14:textId="77777777" w:rsidR="003C49A3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8.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saņēmēju dati tiek nodoti pašvaldības informācijas sistēmai, lai nodrošinātu pakalpojuma uzskaiti un pārvaldību.</w:t>
      </w:r>
    </w:p>
    <w:p w14:paraId="32D6050A" w14:textId="77777777" w:rsidR="003C49A3" w:rsidRPr="00FF311E" w:rsidRDefault="003C49A3" w:rsidP="00664F9F">
      <w:pPr>
        <w:pStyle w:val="Sarakstarindkopa"/>
        <w:spacing w:after="0"/>
        <w:ind w:left="0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B" w14:textId="77777777" w:rsidR="001E56CF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9.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Izglītojamo ēdināšanas pakalpojum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pārvaldību nodrošina Rīgas domes Izglītības, kultūras un sporta departaments.</w:t>
      </w:r>
      <w:r w:rsidR="00E469A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14:paraId="32D6050C" w14:textId="77777777" w:rsidR="00C95C98" w:rsidRPr="00FF311E" w:rsidRDefault="00C95C98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E6F55AA" w14:textId="77777777" w:rsidR="005E3D7C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96A5051" w14:textId="77777777" w:rsidR="005E3D7C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6953347E" w14:textId="77777777" w:rsidR="005E3D7C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BA0081C" w14:textId="77777777" w:rsidR="005E3D7C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41900292" w14:textId="77777777" w:rsidR="005E3D7C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D" w14:textId="6563D284" w:rsidR="00FF311E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10. Grozījumi noteikumu 3. punktā un 3.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1 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punkts ir piemērojams no 2022. gada 1. oktobra.</w:t>
      </w:r>
    </w:p>
    <w:p w14:paraId="75028F1C" w14:textId="5C215630" w:rsidR="0017358B" w:rsidRPr="0017358B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17358B">
        <w:rPr>
          <w:rFonts w:ascii="Times New Roman" w:eastAsia="Times New Roman" w:hAnsi="Times New Roman" w:cs="Times New Roman"/>
          <w:i/>
          <w:iCs/>
          <w:noProof/>
        </w:rPr>
        <w:t>(RD 19.10.2022. saistošo noteikumu Nr. RD-22-167-sn redakcijā)</w:t>
      </w:r>
    </w:p>
    <w:p w14:paraId="1B4897C3" w14:textId="4AF2CA3D" w:rsidR="0017358B" w:rsidRPr="0017358B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</w:rPr>
      </w:pPr>
    </w:p>
    <w:p w14:paraId="32D6050E" w14:textId="4CBF751A" w:rsidR="00664F9F" w:rsidRDefault="00664F9F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67FC4D05" w14:textId="77777777" w:rsidR="005E3D7C" w:rsidRPr="00FF311E" w:rsidRDefault="005E3D7C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Reatabula"/>
        <w:tblW w:w="51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055"/>
      </w:tblGrid>
      <w:tr w:rsidR="003C2ECE" w14:paraId="32D60511" w14:textId="77777777" w:rsidTr="00770872"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14:paraId="32D6050F" w14:textId="77777777" w:rsidR="007C726F" w:rsidRPr="00FF311E" w:rsidRDefault="000A0A90" w:rsidP="000F04C2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5055" w:type="dxa"/>
            <w:tcMar>
              <w:left w:w="57" w:type="dxa"/>
              <w:right w:w="57" w:type="dxa"/>
            </w:tcMar>
            <w:vAlign w:val="bottom"/>
          </w:tcPr>
          <w:p w14:paraId="32D60510" w14:textId="77777777" w:rsidR="007C726F" w:rsidRPr="00FF311E" w:rsidRDefault="000A0A90" w:rsidP="000F04C2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Staķis</w:t>
            </w:r>
          </w:p>
        </w:tc>
      </w:tr>
    </w:tbl>
    <w:p w14:paraId="32D60512" w14:textId="77777777" w:rsidR="00B00798" w:rsidRPr="00FF311E" w:rsidRDefault="00B00798" w:rsidP="00FF311E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B00798" w:rsidRPr="00FF311E" w:rsidSect="00FF31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DB79" w14:textId="77777777" w:rsidR="006E680E" w:rsidRDefault="006E680E">
      <w:pPr>
        <w:spacing w:after="0" w:line="240" w:lineRule="auto"/>
      </w:pPr>
      <w:r>
        <w:separator/>
      </w:r>
    </w:p>
  </w:endnote>
  <w:endnote w:type="continuationSeparator" w:id="0">
    <w:p w14:paraId="64BC4591" w14:textId="77777777" w:rsidR="006E680E" w:rsidRDefault="006E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0517" w14:textId="77777777" w:rsidR="003C2ECE" w:rsidRDefault="000A0A9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051A" w14:textId="77777777" w:rsidR="003C2ECE" w:rsidRDefault="000A0A9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3CCE" w14:textId="77777777" w:rsidR="006E680E" w:rsidRDefault="006E680E">
      <w:pPr>
        <w:spacing w:after="0" w:line="240" w:lineRule="auto"/>
      </w:pPr>
      <w:r>
        <w:separator/>
      </w:r>
    </w:p>
  </w:footnote>
  <w:footnote w:type="continuationSeparator" w:id="0">
    <w:p w14:paraId="24B03828" w14:textId="77777777" w:rsidR="006E680E" w:rsidRDefault="006E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652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2D60515" w14:textId="77777777" w:rsidR="00FF311E" w:rsidRPr="00FF311E" w:rsidRDefault="000A0A90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F311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F311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F311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FF311E">
          <w:rPr>
            <w:rFonts w:ascii="Times New Roman" w:hAnsi="Times New Roman" w:cs="Times New Roman"/>
            <w:sz w:val="26"/>
            <w:szCs w:val="26"/>
          </w:rPr>
          <w:t>2</w:t>
        </w:r>
        <w:r w:rsidRPr="00FF311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2D60516" w14:textId="77777777" w:rsidR="00FF311E" w:rsidRDefault="000A0A90" w:rsidP="00FF311E">
    <w:pPr>
      <w:pStyle w:val="Galvene"/>
      <w:tabs>
        <w:tab w:val="clear" w:pos="4153"/>
        <w:tab w:val="clear" w:pos="8306"/>
        <w:tab w:val="left" w:pos="24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82655"/>
      <w:docPartObj>
        <w:docPartGallery w:val="Page Numbers (Top of Page)"/>
        <w:docPartUnique/>
      </w:docPartObj>
    </w:sdtPr>
    <w:sdtEndPr/>
    <w:sdtContent>
      <w:p w14:paraId="32D60518" w14:textId="77777777" w:rsidR="00FF311E" w:rsidRDefault="006E680E">
        <w:pPr>
          <w:pStyle w:val="Galvene"/>
          <w:jc w:val="center"/>
        </w:pPr>
      </w:p>
    </w:sdtContent>
  </w:sdt>
  <w:p w14:paraId="32D60519" w14:textId="77777777" w:rsidR="00FF311E" w:rsidRDefault="00FF311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37BE"/>
    <w:multiLevelType w:val="multilevel"/>
    <w:tmpl w:val="0434A974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14513"/>
    <w:rsid w:val="000327F7"/>
    <w:rsid w:val="000710AA"/>
    <w:rsid w:val="00073525"/>
    <w:rsid w:val="000747C4"/>
    <w:rsid w:val="000835E6"/>
    <w:rsid w:val="00092AE8"/>
    <w:rsid w:val="000933F8"/>
    <w:rsid w:val="000A0A90"/>
    <w:rsid w:val="000B1A06"/>
    <w:rsid w:val="000D5047"/>
    <w:rsid w:val="000F04C2"/>
    <w:rsid w:val="000F2A26"/>
    <w:rsid w:val="0010048D"/>
    <w:rsid w:val="00102913"/>
    <w:rsid w:val="00120226"/>
    <w:rsid w:val="00137ADE"/>
    <w:rsid w:val="0015286F"/>
    <w:rsid w:val="0017014E"/>
    <w:rsid w:val="0017358B"/>
    <w:rsid w:val="00193F1F"/>
    <w:rsid w:val="001D39C1"/>
    <w:rsid w:val="001E56CF"/>
    <w:rsid w:val="0025436B"/>
    <w:rsid w:val="00254EB8"/>
    <w:rsid w:val="002B47FF"/>
    <w:rsid w:val="002C74B4"/>
    <w:rsid w:val="002E3B6E"/>
    <w:rsid w:val="0032030C"/>
    <w:rsid w:val="0039097C"/>
    <w:rsid w:val="003C2ECE"/>
    <w:rsid w:val="003C49A3"/>
    <w:rsid w:val="003C4A28"/>
    <w:rsid w:val="00405C4D"/>
    <w:rsid w:val="00480295"/>
    <w:rsid w:val="0048699E"/>
    <w:rsid w:val="004A4B53"/>
    <w:rsid w:val="004E6849"/>
    <w:rsid w:val="005178E0"/>
    <w:rsid w:val="00533C2F"/>
    <w:rsid w:val="005806F4"/>
    <w:rsid w:val="00591EB7"/>
    <w:rsid w:val="00594753"/>
    <w:rsid w:val="005A57EE"/>
    <w:rsid w:val="005D21F2"/>
    <w:rsid w:val="005D5DC2"/>
    <w:rsid w:val="005E3D7C"/>
    <w:rsid w:val="005F2C29"/>
    <w:rsid w:val="00664F9F"/>
    <w:rsid w:val="00665633"/>
    <w:rsid w:val="006677FD"/>
    <w:rsid w:val="00676119"/>
    <w:rsid w:val="00676DF2"/>
    <w:rsid w:val="00682D89"/>
    <w:rsid w:val="006869CA"/>
    <w:rsid w:val="00690187"/>
    <w:rsid w:val="006A59F3"/>
    <w:rsid w:val="006E51CB"/>
    <w:rsid w:val="006E680E"/>
    <w:rsid w:val="006F4BCA"/>
    <w:rsid w:val="00701A1C"/>
    <w:rsid w:val="00736CAB"/>
    <w:rsid w:val="00770872"/>
    <w:rsid w:val="007C726F"/>
    <w:rsid w:val="007D5BD7"/>
    <w:rsid w:val="008427F4"/>
    <w:rsid w:val="00846C25"/>
    <w:rsid w:val="008A44DD"/>
    <w:rsid w:val="008B3557"/>
    <w:rsid w:val="008C5765"/>
    <w:rsid w:val="008D33E0"/>
    <w:rsid w:val="008F15E8"/>
    <w:rsid w:val="008F6454"/>
    <w:rsid w:val="00964AAA"/>
    <w:rsid w:val="0099303D"/>
    <w:rsid w:val="009A2EB1"/>
    <w:rsid w:val="009B35F5"/>
    <w:rsid w:val="009D503D"/>
    <w:rsid w:val="009F4825"/>
    <w:rsid w:val="00A25E8A"/>
    <w:rsid w:val="00A33D82"/>
    <w:rsid w:val="00A6788D"/>
    <w:rsid w:val="00A94D5F"/>
    <w:rsid w:val="00AB5B49"/>
    <w:rsid w:val="00AC7958"/>
    <w:rsid w:val="00B00798"/>
    <w:rsid w:val="00B0243C"/>
    <w:rsid w:val="00B0258D"/>
    <w:rsid w:val="00B23265"/>
    <w:rsid w:val="00B51F6F"/>
    <w:rsid w:val="00B606BB"/>
    <w:rsid w:val="00BA2DA2"/>
    <w:rsid w:val="00C15617"/>
    <w:rsid w:val="00C2208F"/>
    <w:rsid w:val="00C41C5C"/>
    <w:rsid w:val="00C848EF"/>
    <w:rsid w:val="00C95C98"/>
    <w:rsid w:val="00CA1998"/>
    <w:rsid w:val="00CA1CED"/>
    <w:rsid w:val="00CA34EB"/>
    <w:rsid w:val="00CB290A"/>
    <w:rsid w:val="00CE51D2"/>
    <w:rsid w:val="00D27912"/>
    <w:rsid w:val="00D87975"/>
    <w:rsid w:val="00D90E3D"/>
    <w:rsid w:val="00DB6DD4"/>
    <w:rsid w:val="00DC180F"/>
    <w:rsid w:val="00DC1E5B"/>
    <w:rsid w:val="00DC4851"/>
    <w:rsid w:val="00DF185B"/>
    <w:rsid w:val="00DF4DBC"/>
    <w:rsid w:val="00E13CDF"/>
    <w:rsid w:val="00E228CD"/>
    <w:rsid w:val="00E469A8"/>
    <w:rsid w:val="00E500A5"/>
    <w:rsid w:val="00E66F85"/>
    <w:rsid w:val="00E82483"/>
    <w:rsid w:val="00E8383F"/>
    <w:rsid w:val="00E84B13"/>
    <w:rsid w:val="00E90D3A"/>
    <w:rsid w:val="00F05AC0"/>
    <w:rsid w:val="00F07A9C"/>
    <w:rsid w:val="00F15003"/>
    <w:rsid w:val="00F15F83"/>
    <w:rsid w:val="00F27E7F"/>
    <w:rsid w:val="00FE067A"/>
    <w:rsid w:val="00FE21B2"/>
    <w:rsid w:val="00FE22C8"/>
    <w:rsid w:val="00FF311E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604CC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F4D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06F4"/>
  </w:style>
  <w:style w:type="paragraph" w:styleId="Kjene">
    <w:name w:val="footer"/>
    <w:basedOn w:val="Parasts"/>
    <w:link w:val="Kj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06F4"/>
  </w:style>
  <w:style w:type="character" w:styleId="Hipersaite">
    <w:name w:val="Hyperlink"/>
    <w:basedOn w:val="Noklusjumarindkopasfonts"/>
    <w:uiPriority w:val="99"/>
    <w:semiHidden/>
    <w:unhideWhenUsed/>
    <w:rsid w:val="00E46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DD7F8-3317-477A-B9D7-B3A0F1BC5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4970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Diāna Kotkovska</cp:lastModifiedBy>
  <cp:revision>2</cp:revision>
  <cp:lastPrinted>2022-08-11T12:55:00Z</cp:lastPrinted>
  <dcterms:created xsi:type="dcterms:W3CDTF">2022-12-12T11:38:00Z</dcterms:created>
  <dcterms:modified xsi:type="dcterms:W3CDTF">2022-12-12T11:38:00Z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